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3535" w14:textId="7298E2B4" w:rsidR="00F278E3" w:rsidRPr="00EC66ED" w:rsidRDefault="00A94A51" w:rsidP="00A00C6B">
      <w:pPr>
        <w:jc w:val="center"/>
        <w:outlineLvl w:val="0"/>
        <w:rPr>
          <w:b/>
        </w:rPr>
      </w:pPr>
      <w:r>
        <w:rPr>
          <w:b/>
          <w:lang w:val="en-GB"/>
        </w:rPr>
        <w:t xml:space="preserve"> </w:t>
      </w:r>
      <w:r w:rsidR="00A00C6B">
        <w:rPr>
          <w:b/>
          <w:lang w:val="en-GB"/>
        </w:rPr>
        <w:t>A</w:t>
      </w:r>
      <w:r w:rsidR="00F278E3">
        <w:rPr>
          <w:b/>
        </w:rPr>
        <w:t xml:space="preserve"> PRELIMINARY STUDY ON THE EFFECTIVENESS OF ACTIVE-COLLABORATIVE LEARNING IN PRAGMATIC</w:t>
      </w:r>
      <w:r w:rsidR="00F278E3" w:rsidRPr="000B590A">
        <w:rPr>
          <w:b/>
        </w:rPr>
        <w:t>-BASED</w:t>
      </w:r>
      <w:r w:rsidR="00F278E3" w:rsidRPr="00DC7366">
        <w:rPr>
          <w:b/>
          <w:color w:val="FF0000"/>
        </w:rPr>
        <w:t xml:space="preserve"> </w:t>
      </w:r>
      <w:r w:rsidR="00F278E3">
        <w:rPr>
          <w:b/>
        </w:rPr>
        <w:t xml:space="preserve">MECHANICAL ENGINEERING MODULE </w:t>
      </w:r>
    </w:p>
    <w:p w14:paraId="35702E57" w14:textId="77777777" w:rsidR="00A94A51" w:rsidRPr="003E0719" w:rsidRDefault="00A94A51">
      <w:pPr>
        <w:jc w:val="center"/>
        <w:rPr>
          <w:b/>
          <w:lang w:eastAsia="ja-JP"/>
        </w:rPr>
      </w:pPr>
    </w:p>
    <w:p w14:paraId="2BAE8D15" w14:textId="269892D8" w:rsidR="00A94A51" w:rsidRPr="003E0719" w:rsidRDefault="00AF1E23">
      <w:pPr>
        <w:pStyle w:val="PlainText"/>
        <w:jc w:val="center"/>
        <w:outlineLvl w:val="0"/>
        <w:rPr>
          <w:rFonts w:ascii="Times New Roman" w:hAnsi="Times New Roman"/>
          <w:sz w:val="24"/>
          <w:lang w:val="en-GB"/>
        </w:rPr>
      </w:pPr>
      <w:r>
        <w:rPr>
          <w:rFonts w:ascii="Times New Roman" w:hAnsi="Times New Roman"/>
          <w:sz w:val="24"/>
          <w:lang w:val="en-GB"/>
        </w:rPr>
        <w:t xml:space="preserve">H. </w:t>
      </w:r>
      <w:r w:rsidR="00F278E3">
        <w:rPr>
          <w:rFonts w:ascii="Times New Roman" w:hAnsi="Times New Roman"/>
          <w:sz w:val="24"/>
          <w:lang w:val="en-GB"/>
        </w:rPr>
        <w:t>Kwong H.R.</w:t>
      </w:r>
    </w:p>
    <w:p w14:paraId="6267316C" w14:textId="77777777" w:rsidR="00A94A51" w:rsidRPr="003E0719" w:rsidRDefault="00A94A51">
      <w:pPr>
        <w:pStyle w:val="PlainText"/>
        <w:jc w:val="center"/>
        <w:rPr>
          <w:rFonts w:ascii="Times New Roman" w:hAnsi="Times New Roman"/>
          <w:sz w:val="24"/>
          <w:lang w:val="en-GB"/>
        </w:rPr>
      </w:pPr>
    </w:p>
    <w:p w14:paraId="2BDFF16C" w14:textId="156560BA" w:rsidR="00A94A51" w:rsidRPr="003E0719" w:rsidRDefault="00F278E3">
      <w:pPr>
        <w:pStyle w:val="PlainText"/>
        <w:jc w:val="center"/>
        <w:rPr>
          <w:rFonts w:ascii="Times New Roman" w:hAnsi="Times New Roman"/>
          <w:sz w:val="24"/>
          <w:lang w:val="en-GB"/>
        </w:rPr>
      </w:pPr>
      <w:r>
        <w:rPr>
          <w:rFonts w:ascii="Times New Roman" w:hAnsi="Times New Roman"/>
          <w:sz w:val="24"/>
          <w:lang w:val="en-GB"/>
        </w:rPr>
        <w:t>School of Mechanical and Aeronautical Engineering, Singapore Polytechnic, Singapore, Singapore</w:t>
      </w:r>
    </w:p>
    <w:p w14:paraId="493D995F" w14:textId="74A2DC01" w:rsidR="00A94A51" w:rsidRPr="003E0719" w:rsidRDefault="00A94A51">
      <w:pPr>
        <w:pStyle w:val="PlainText"/>
        <w:jc w:val="center"/>
        <w:rPr>
          <w:rFonts w:ascii="Times New Roman" w:hAnsi="Times New Roman"/>
          <w:sz w:val="24"/>
          <w:lang w:val="en-GB"/>
        </w:rPr>
      </w:pPr>
    </w:p>
    <w:p w14:paraId="5B31A2E2" w14:textId="77777777" w:rsidR="00A94A51" w:rsidRPr="003E0719" w:rsidRDefault="00A94A51">
      <w:pPr>
        <w:pStyle w:val="PlainText"/>
        <w:jc w:val="center"/>
        <w:rPr>
          <w:rFonts w:ascii="Times New Roman" w:hAnsi="Times New Roman"/>
          <w:sz w:val="24"/>
          <w:lang w:val="en-GB"/>
        </w:rPr>
      </w:pPr>
    </w:p>
    <w:p w14:paraId="1A429BFC" w14:textId="7E814D69" w:rsidR="00A94A51" w:rsidRPr="003E0719" w:rsidRDefault="00F278E3">
      <w:pPr>
        <w:pStyle w:val="PlainText"/>
        <w:jc w:val="center"/>
        <w:outlineLvl w:val="0"/>
        <w:rPr>
          <w:rFonts w:ascii="Times New Roman" w:hAnsi="Times New Roman"/>
          <w:sz w:val="24"/>
          <w:lang w:val="en-GB"/>
        </w:rPr>
      </w:pPr>
      <w:r>
        <w:rPr>
          <w:rFonts w:ascii="Times New Roman" w:hAnsi="Times New Roman"/>
          <w:sz w:val="24"/>
          <w:lang w:val="en-GB"/>
        </w:rPr>
        <w:t>henry_kwong@sp.edu.sg</w:t>
      </w:r>
    </w:p>
    <w:p w14:paraId="0866CAE6" w14:textId="77777777" w:rsidR="00A94A51" w:rsidRPr="003E0719" w:rsidRDefault="00A94A51">
      <w:pPr>
        <w:pStyle w:val="PlainText"/>
        <w:jc w:val="both"/>
        <w:rPr>
          <w:rFonts w:ascii="Times New Roman" w:hAnsi="Times New Roman"/>
          <w:lang w:val="en-GB"/>
        </w:rPr>
      </w:pPr>
    </w:p>
    <w:p w14:paraId="6A827D71" w14:textId="77777777" w:rsidR="00A94A51" w:rsidRPr="003E0719" w:rsidRDefault="00A94A51">
      <w:pPr>
        <w:pStyle w:val="PlainText"/>
        <w:jc w:val="both"/>
        <w:rPr>
          <w:rFonts w:ascii="Times New Roman" w:hAnsi="Times New Roman"/>
          <w:lang w:val="en-GB"/>
        </w:rPr>
      </w:pPr>
    </w:p>
    <w:p w14:paraId="2B13587B" w14:textId="77777777" w:rsidR="00A94A51" w:rsidRPr="003E0719" w:rsidRDefault="00A94A51">
      <w:pPr>
        <w:pStyle w:val="PlainText"/>
        <w:jc w:val="both"/>
        <w:rPr>
          <w:rFonts w:ascii="Times New Roman" w:hAnsi="Times New Roman"/>
          <w:lang w:val="en-GB"/>
        </w:rPr>
        <w:sectPr w:rsidR="00A94A51" w:rsidRPr="003E0719" w:rsidSect="00A43253">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134" w:header="720" w:footer="720" w:gutter="0"/>
          <w:pgNumType w:start="0"/>
          <w:cols w:space="708"/>
          <w:docGrid w:linePitch="360"/>
        </w:sectPr>
      </w:pPr>
    </w:p>
    <w:p w14:paraId="203626E6" w14:textId="77777777"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14:paraId="587F1294" w14:textId="77777777" w:rsidR="00A94A51" w:rsidRPr="003E0719" w:rsidRDefault="00A94A51">
      <w:pPr>
        <w:pStyle w:val="PlainText"/>
        <w:jc w:val="both"/>
        <w:rPr>
          <w:rFonts w:ascii="Times New Roman" w:hAnsi="Times New Roman"/>
          <w:b/>
          <w:lang w:val="en-GB"/>
        </w:rPr>
      </w:pPr>
    </w:p>
    <w:p w14:paraId="682408DE" w14:textId="67F6007B" w:rsidR="00A94A51" w:rsidRDefault="00F278E3" w:rsidP="001564CC">
      <w:pPr>
        <w:pStyle w:val="PlainText"/>
        <w:ind w:firstLine="284"/>
        <w:jc w:val="both"/>
        <w:rPr>
          <w:rFonts w:ascii="Times New Roman" w:hAnsi="Times New Roman"/>
          <w:b/>
          <w:lang w:val="en-GB"/>
        </w:rPr>
      </w:pPr>
      <w:r w:rsidRPr="00F278E3">
        <w:rPr>
          <w:rFonts w:ascii="Times New Roman" w:hAnsi="Times New Roman"/>
          <w:b/>
          <w:lang w:val="en-GB"/>
        </w:rPr>
        <w:t>This paper studies the effectiveness of Active-Collaborative Learning (ACL) in a pragmatic-based engineering module offered by the School of Mechanical and Aeronautical Engineering (MAE) in Singapore Polytechnic (SP). Being pragmatic is one of the essential components of Computer Aided Machining (CAM), a skillset that was addressed in one of the advanced modules in the second year of SP MAE studies. In essence, developing mastery in CAM requires students to attain the highest competency in the Bloom Taxonomy within the 15 weeks of study, which was often challenging for students. There have been few studies about the pedagogy in pragmatic-based modules as of this writing, which prompted the author to conduct research to develop a more comprehensive instruction method and find common ground with lecturers who teach modules of a similar nature. The implementation of ACL provided a two-way learning approach in the classroom setting, allowing for greater interactivity and knowledge exchange among students and lecturers. The two primary activities that facilitated ACL implementation were the pre-class preparation and the in-class activity. The pre-class preparation entails</w:t>
      </w:r>
      <w:r>
        <w:rPr>
          <w:rFonts w:ascii="Times New Roman" w:hAnsi="Times New Roman"/>
          <w:b/>
          <w:lang w:val="en-GB"/>
        </w:rPr>
        <w:t xml:space="preserve"> </w:t>
      </w:r>
      <w:r w:rsidRPr="00F278E3">
        <w:rPr>
          <w:rFonts w:ascii="Times New Roman" w:hAnsi="Times New Roman"/>
          <w:b/>
          <w:lang w:val="en-GB"/>
        </w:rPr>
        <w:t xml:space="preserve">students </w:t>
      </w:r>
      <w:r>
        <w:rPr>
          <w:rFonts w:ascii="Times New Roman" w:hAnsi="Times New Roman"/>
          <w:b/>
          <w:lang w:val="en-GB"/>
        </w:rPr>
        <w:t>to first complete</w:t>
      </w:r>
      <w:r w:rsidRPr="00F278E3">
        <w:rPr>
          <w:rFonts w:ascii="Times New Roman" w:hAnsi="Times New Roman"/>
          <w:b/>
          <w:lang w:val="en-GB"/>
        </w:rPr>
        <w:t xml:space="preserve"> the assigned tasks before attending the subsequent lesson. Knowledge-exchange-based activities were then incorporated into the in-class activity, making it more participatory and, as a result, attaining the ACL objectives. Quiz components </w:t>
      </w:r>
      <w:r w:rsidR="009A403C">
        <w:rPr>
          <w:rFonts w:ascii="Times New Roman" w:hAnsi="Times New Roman"/>
          <w:b/>
          <w:lang w:val="en-GB"/>
        </w:rPr>
        <w:t xml:space="preserve">of a total number of 208 entries </w:t>
      </w:r>
      <w:r w:rsidRPr="00F278E3">
        <w:rPr>
          <w:rFonts w:ascii="Times New Roman" w:hAnsi="Times New Roman"/>
          <w:b/>
          <w:lang w:val="en-GB"/>
        </w:rPr>
        <w:t>were considered to determine the effectiveness of this approach</w:t>
      </w:r>
      <w:r w:rsidR="009A403C">
        <w:rPr>
          <w:rFonts w:ascii="Times New Roman" w:hAnsi="Times New Roman"/>
          <w:b/>
          <w:lang w:val="en-GB"/>
        </w:rPr>
        <w:t xml:space="preserve">. </w:t>
      </w:r>
      <w:r w:rsidRPr="00F278E3">
        <w:rPr>
          <w:rFonts w:ascii="Times New Roman" w:hAnsi="Times New Roman"/>
          <w:b/>
          <w:lang w:val="en-GB"/>
        </w:rPr>
        <w:t>The findings indicated that ACL was effective</w:t>
      </w:r>
      <w:r w:rsidR="009A403C">
        <w:rPr>
          <w:rFonts w:ascii="Times New Roman" w:hAnsi="Times New Roman"/>
          <w:b/>
          <w:lang w:val="en-GB"/>
        </w:rPr>
        <w:t xml:space="preserve"> as the q</w:t>
      </w:r>
      <w:r w:rsidRPr="00F278E3">
        <w:rPr>
          <w:rFonts w:ascii="Times New Roman" w:hAnsi="Times New Roman"/>
          <w:b/>
          <w:lang w:val="en-GB"/>
        </w:rPr>
        <w:t>uiz results revealed a positive correlation between the students went through ACL setup and the quiz scores. The statistical evidence that ACL was effective was supported by the fact that students who participated in ACL had higher mean of quiz scores than those in control group, along with a high t-value and low Cohen's ds value. Following the conclusion of the learning of one major skill</w:t>
      </w:r>
      <w:r w:rsidR="009B09BE">
        <w:rPr>
          <w:rFonts w:ascii="Times New Roman" w:hAnsi="Times New Roman"/>
          <w:b/>
          <w:lang w:val="en-GB"/>
        </w:rPr>
        <w:t xml:space="preserve">, </w:t>
      </w:r>
      <w:r w:rsidRPr="00F278E3">
        <w:rPr>
          <w:rFonts w:ascii="Times New Roman" w:hAnsi="Times New Roman"/>
          <w:b/>
          <w:lang w:val="en-GB"/>
        </w:rPr>
        <w:t xml:space="preserve">a student perception survey was included. The survey's feedback scores showed that students were getting better at understanding and applying their acquired knowledge of CAM. In conclusion, the higher degree of interactivity and knowledge exchange in ACL has produced a productive learning environment where the students are better able to comprehend and </w:t>
      </w:r>
      <w:r w:rsidRPr="00F278E3">
        <w:rPr>
          <w:rFonts w:ascii="Times New Roman" w:hAnsi="Times New Roman"/>
          <w:b/>
          <w:lang w:val="en-GB"/>
        </w:rPr>
        <w:t>integrate the concept and subsequently complete the assignments</w:t>
      </w:r>
      <w:r w:rsidR="002E4228">
        <w:rPr>
          <w:rFonts w:ascii="Times New Roman" w:hAnsi="Times New Roman"/>
          <w:b/>
          <w:lang w:val="en-GB"/>
        </w:rPr>
        <w:t>.</w:t>
      </w:r>
    </w:p>
    <w:p w14:paraId="540BFC72" w14:textId="77777777" w:rsidR="00F278E3" w:rsidRPr="003E0719" w:rsidRDefault="00F278E3">
      <w:pPr>
        <w:pStyle w:val="PlainText"/>
        <w:jc w:val="both"/>
        <w:rPr>
          <w:rFonts w:ascii="Times New Roman" w:hAnsi="Times New Roman"/>
          <w:b/>
          <w:lang w:val="en-GB" w:eastAsia="ja-JP"/>
        </w:rPr>
      </w:pPr>
    </w:p>
    <w:p w14:paraId="49752DE6" w14:textId="1FF90FD5" w:rsidR="00A94A51" w:rsidRPr="003E0719" w:rsidRDefault="00A94A51">
      <w:pPr>
        <w:pStyle w:val="PlainText"/>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00490282" w:rsidRPr="00490282">
        <w:rPr>
          <w:rFonts w:ascii="Times New Roman" w:hAnsi="Times New Roman"/>
          <w:bCs/>
          <w:i/>
          <w:iCs/>
          <w:lang w:val="en-GB" w:eastAsia="ja-JP"/>
        </w:rPr>
        <w:t xml:space="preserve">Pragmatic-based Module, Computer Aided Machining (CAM), </w:t>
      </w:r>
      <w:r w:rsidR="00F44D84">
        <w:rPr>
          <w:rFonts w:ascii="Times New Roman" w:hAnsi="Times New Roman"/>
          <w:bCs/>
          <w:i/>
          <w:iCs/>
          <w:lang w:val="en-GB" w:eastAsia="ja-JP"/>
        </w:rPr>
        <w:t xml:space="preserve">Active Learning, </w:t>
      </w:r>
      <w:r w:rsidR="00490282" w:rsidRPr="00490282">
        <w:rPr>
          <w:rFonts w:ascii="Times New Roman" w:hAnsi="Times New Roman"/>
          <w:bCs/>
          <w:i/>
          <w:iCs/>
          <w:lang w:val="en-GB" w:eastAsia="ja-JP"/>
        </w:rPr>
        <w:t>Active-Collaborative Learning</w:t>
      </w:r>
      <w:r w:rsidR="00FE6E4C">
        <w:rPr>
          <w:rFonts w:ascii="Times New Roman" w:hAnsi="Times New Roman"/>
          <w:bCs/>
          <w:i/>
          <w:iCs/>
          <w:lang w:val="en-GB" w:eastAsia="ja-JP"/>
        </w:rPr>
        <w:t>, Pragmatic</w:t>
      </w:r>
    </w:p>
    <w:p w14:paraId="2F6EB70F" w14:textId="77777777" w:rsidR="00A94A51" w:rsidRPr="003E0719" w:rsidRDefault="00A94A51">
      <w:pPr>
        <w:pStyle w:val="PlainText"/>
        <w:jc w:val="both"/>
        <w:rPr>
          <w:rFonts w:ascii="Times New Roman" w:hAnsi="Times New Roman"/>
          <w:b/>
          <w:lang w:val="en-GB" w:eastAsia="ja-JP"/>
        </w:rPr>
      </w:pPr>
    </w:p>
    <w:p w14:paraId="45718082" w14:textId="77777777" w:rsidR="00A94A51" w:rsidRPr="003E0719" w:rsidRDefault="00A94A51">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0C1F8DAF" w14:textId="03475E19" w:rsidR="00510C68" w:rsidRPr="00510C68" w:rsidRDefault="00510C68" w:rsidP="006F265E">
      <w:pPr>
        <w:pStyle w:val="PlainText"/>
        <w:ind w:firstLine="284"/>
        <w:jc w:val="both"/>
        <w:rPr>
          <w:rFonts w:ascii="Times New Roman" w:hAnsi="Times New Roman"/>
          <w:lang w:val="en-GB"/>
        </w:rPr>
      </w:pPr>
      <w:r w:rsidRPr="00510C68">
        <w:rPr>
          <w:rFonts w:ascii="Times New Roman" w:hAnsi="Times New Roman"/>
          <w:i/>
          <w:iCs/>
          <w:lang w:val="en-GB"/>
        </w:rPr>
        <w:t>“To teach is to engage students in learning”</w:t>
      </w:r>
      <w:r w:rsidRPr="00A701E4">
        <w:rPr>
          <w:rFonts w:ascii="Times New Roman" w:hAnsi="Times New Roman"/>
          <w:lang w:val="en-GB"/>
        </w:rPr>
        <w:t xml:space="preserve"> </w:t>
      </w:r>
      <w:r w:rsidRPr="00F47120">
        <w:rPr>
          <w:rFonts w:ascii="Times New Roman" w:hAnsi="Times New Roman"/>
          <w:lang w:val="en-GB"/>
        </w:rPr>
        <w:t xml:space="preserve">(Christensen et al., 1991). </w:t>
      </w:r>
      <w:r w:rsidR="00E116B2" w:rsidRPr="00F47120">
        <w:rPr>
          <w:rFonts w:ascii="Times New Roman" w:hAnsi="Times New Roman"/>
          <w:lang w:val="en-GB"/>
        </w:rPr>
        <w:t>That’s the essence of Active Learning pedagogy</w:t>
      </w:r>
      <w:r w:rsidR="0086403C" w:rsidRPr="00F47120">
        <w:rPr>
          <w:rFonts w:ascii="Times New Roman" w:hAnsi="Times New Roman"/>
          <w:lang w:val="en-GB"/>
        </w:rPr>
        <w:t>.</w:t>
      </w:r>
      <w:r w:rsidR="00A01778" w:rsidRPr="00F47120">
        <w:rPr>
          <w:rFonts w:ascii="Times New Roman" w:hAnsi="Times New Roman"/>
          <w:lang w:val="en-GB"/>
        </w:rPr>
        <w:t xml:space="preserve"> Active learning differs from typical lecture-based teaching approaches in that it prioritizes student engagement, interaction, and collaboration. </w:t>
      </w:r>
      <w:r w:rsidR="00A701E4" w:rsidRPr="00F47120">
        <w:rPr>
          <w:rFonts w:ascii="Times New Roman" w:hAnsi="Times New Roman"/>
          <w:lang w:val="en-GB"/>
        </w:rPr>
        <w:t>Bonwell and Eison (1991)</w:t>
      </w:r>
      <w:r w:rsidR="0086403C" w:rsidRPr="00F47120">
        <w:rPr>
          <w:rFonts w:ascii="Times New Roman" w:hAnsi="Times New Roman"/>
          <w:lang w:val="en-GB"/>
        </w:rPr>
        <w:t xml:space="preserve"> </w:t>
      </w:r>
      <w:r w:rsidR="00B13B02" w:rsidRPr="00F47120">
        <w:rPr>
          <w:rFonts w:ascii="Times New Roman" w:hAnsi="Times New Roman"/>
          <w:lang w:val="en-GB"/>
        </w:rPr>
        <w:t>discovered</w:t>
      </w:r>
      <w:r w:rsidR="00B13B02" w:rsidRPr="00B13B02">
        <w:rPr>
          <w:rFonts w:ascii="Times New Roman" w:hAnsi="Times New Roman"/>
          <w:lang w:val="en-GB"/>
        </w:rPr>
        <w:t xml:space="preserve"> that after the active learning technique was imposed on their learning, the pattern of communication among the students in the class had significantly improved. </w:t>
      </w:r>
      <w:r w:rsidR="006F1D86" w:rsidRPr="006F1D86">
        <w:rPr>
          <w:rFonts w:ascii="Times New Roman" w:hAnsi="Times New Roman"/>
          <w:lang w:val="en-GB"/>
        </w:rPr>
        <w:t xml:space="preserve">As active learning </w:t>
      </w:r>
      <w:r w:rsidR="006F1D86">
        <w:rPr>
          <w:rFonts w:ascii="Times New Roman" w:hAnsi="Times New Roman"/>
          <w:lang w:val="en-GB"/>
        </w:rPr>
        <w:t>promotes inclusivity</w:t>
      </w:r>
      <w:r w:rsidR="006F1D86" w:rsidRPr="006F1D86">
        <w:rPr>
          <w:rFonts w:ascii="Times New Roman" w:hAnsi="Times New Roman"/>
          <w:lang w:val="en-GB"/>
        </w:rPr>
        <w:t xml:space="preserve"> and diversity in the classroom, learner-cent</w:t>
      </w:r>
      <w:r w:rsidR="006F1D86">
        <w:rPr>
          <w:rFonts w:ascii="Times New Roman" w:hAnsi="Times New Roman"/>
          <w:lang w:val="en-GB"/>
        </w:rPr>
        <w:t>re</w:t>
      </w:r>
      <w:r w:rsidR="006F1D86" w:rsidRPr="006F1D86">
        <w:rPr>
          <w:rFonts w:ascii="Times New Roman" w:hAnsi="Times New Roman"/>
          <w:lang w:val="en-GB"/>
        </w:rPr>
        <w:t>d activities are becoming increasingly important</w:t>
      </w:r>
      <w:r w:rsidR="006F1D86">
        <w:rPr>
          <w:rFonts w:ascii="Times New Roman" w:hAnsi="Times New Roman"/>
          <w:lang w:val="en-GB"/>
        </w:rPr>
        <w:t xml:space="preserve">, </w:t>
      </w:r>
      <w:r w:rsidR="00A701E4" w:rsidRPr="0046050A">
        <w:rPr>
          <w:rFonts w:ascii="Times New Roman" w:hAnsi="Times New Roman"/>
          <w:lang w:val="en-GB"/>
        </w:rPr>
        <w:t xml:space="preserve">and it should be designed with the intention of enhancing the higher order cognitive skills among </w:t>
      </w:r>
      <w:r w:rsidR="00A701E4" w:rsidRPr="00F47120">
        <w:rPr>
          <w:rFonts w:ascii="Times New Roman" w:hAnsi="Times New Roman"/>
          <w:lang w:val="en-GB"/>
        </w:rPr>
        <w:t>students in the Revised Bloom’s Taxonomy (RBT) pyramid (Anderson and Krathwohl, 2001; Bergmann and Sams, 2012).</w:t>
      </w:r>
      <w:r w:rsidR="00FB3B2E">
        <w:rPr>
          <w:rFonts w:ascii="Times New Roman" w:hAnsi="Times New Roman"/>
          <w:lang w:val="en-GB"/>
        </w:rPr>
        <w:t xml:space="preserve"> </w:t>
      </w:r>
    </w:p>
    <w:p w14:paraId="318B2F31" w14:textId="77777777" w:rsidR="00510C68" w:rsidRPr="00510C68" w:rsidRDefault="00510C68" w:rsidP="00510C68">
      <w:pPr>
        <w:pStyle w:val="PlainText"/>
        <w:jc w:val="both"/>
        <w:rPr>
          <w:rFonts w:ascii="Times New Roman" w:hAnsi="Times New Roman"/>
          <w:lang w:val="en-GB"/>
        </w:rPr>
      </w:pPr>
    </w:p>
    <w:p w14:paraId="439E429E" w14:textId="0C4A9787" w:rsidR="00510C68" w:rsidRPr="00510C68" w:rsidRDefault="00F47120" w:rsidP="006F265E">
      <w:pPr>
        <w:pStyle w:val="PlainText"/>
        <w:ind w:firstLine="284"/>
        <w:jc w:val="both"/>
        <w:rPr>
          <w:rFonts w:ascii="Times New Roman" w:hAnsi="Times New Roman"/>
          <w:lang w:val="en-GB"/>
        </w:rPr>
      </w:pPr>
      <w:r w:rsidRPr="00F47120">
        <w:rPr>
          <w:rFonts w:ascii="Times New Roman" w:hAnsi="Times New Roman"/>
          <w:lang w:val="en-GB"/>
        </w:rPr>
        <w:t xml:space="preserve">In a typical active learning environment, students were grouped together so they could share ideas and learn from their peers instead than depending solely on lecturers to impart knowledge. </w:t>
      </w:r>
      <w:r w:rsidR="00510C68" w:rsidRPr="00F47120">
        <w:rPr>
          <w:rFonts w:ascii="Times New Roman" w:hAnsi="Times New Roman"/>
          <w:lang w:val="en-GB"/>
        </w:rPr>
        <w:t xml:space="preserve">(Ballen et al., 2017; Cho et al., 2021; Mason et al., 2013). </w:t>
      </w:r>
      <w:r w:rsidR="0046050A" w:rsidRPr="00F47120">
        <w:rPr>
          <w:rFonts w:ascii="Times New Roman" w:hAnsi="Times New Roman"/>
          <w:lang w:val="en-GB"/>
        </w:rPr>
        <w:t>This</w:t>
      </w:r>
      <w:r>
        <w:rPr>
          <w:rFonts w:ascii="Times New Roman" w:hAnsi="Times New Roman"/>
          <w:lang w:val="en-GB"/>
        </w:rPr>
        <w:t xml:space="preserve"> is </w:t>
      </w:r>
      <w:r w:rsidR="00510C68" w:rsidRPr="00F47120">
        <w:rPr>
          <w:rFonts w:ascii="Times New Roman" w:hAnsi="Times New Roman"/>
          <w:lang w:val="en-GB"/>
        </w:rPr>
        <w:t xml:space="preserve">the </w:t>
      </w:r>
      <w:r w:rsidR="0046050A" w:rsidRPr="00F47120">
        <w:rPr>
          <w:rFonts w:ascii="Times New Roman" w:hAnsi="Times New Roman"/>
          <w:lang w:val="en-GB"/>
        </w:rPr>
        <w:t>Collaborative</w:t>
      </w:r>
      <w:r w:rsidR="0046050A">
        <w:rPr>
          <w:rFonts w:ascii="Times New Roman" w:hAnsi="Times New Roman"/>
          <w:lang w:val="en-GB"/>
        </w:rPr>
        <w:t xml:space="preserve"> Learning</w:t>
      </w:r>
      <w:r>
        <w:rPr>
          <w:rFonts w:ascii="Times New Roman" w:hAnsi="Times New Roman"/>
          <w:lang w:val="en-GB"/>
        </w:rPr>
        <w:t>, one of the commonly used strategies in active learning</w:t>
      </w:r>
      <w:r w:rsidR="00510C68" w:rsidRPr="00510C68">
        <w:rPr>
          <w:rFonts w:ascii="Times New Roman" w:hAnsi="Times New Roman"/>
          <w:lang w:val="en-GB"/>
        </w:rPr>
        <w:t xml:space="preserve">. Collaborative learning is a joint learning between the students and teachers, where the efforts can come primarily from students, or the partnership between students and </w:t>
      </w:r>
      <w:r w:rsidR="00510C68" w:rsidRPr="00F47120">
        <w:rPr>
          <w:rFonts w:ascii="Times New Roman" w:hAnsi="Times New Roman"/>
          <w:lang w:val="en-GB"/>
        </w:rPr>
        <w:t>teachers (Smith et al., 1992).</w:t>
      </w:r>
      <w:r w:rsidR="00510C68" w:rsidRPr="00510C68">
        <w:rPr>
          <w:rFonts w:ascii="Times New Roman" w:hAnsi="Times New Roman"/>
          <w:lang w:val="en-GB"/>
        </w:rPr>
        <w:t xml:space="preserve"> The introducing of this interdependency during classroom </w:t>
      </w:r>
      <w:r w:rsidR="00510C68" w:rsidRPr="00933AAA">
        <w:rPr>
          <w:rFonts w:ascii="Times New Roman" w:hAnsi="Times New Roman"/>
          <w:lang w:val="en-GB"/>
        </w:rPr>
        <w:t>learning has increased the cognitive learning among students, which has created a positive hype in terms of intrinsic motivation to allow students to learn better (Järvenoja et al, 2020; Scager et al., 2016). The proliferation of peer teaching, especially in a tertiary</w:t>
      </w:r>
      <w:r w:rsidR="00510C68" w:rsidRPr="00510C68">
        <w:rPr>
          <w:rFonts w:ascii="Times New Roman" w:hAnsi="Times New Roman"/>
          <w:lang w:val="en-GB"/>
        </w:rPr>
        <w:t xml:space="preserve"> education institution, accelerates the collaborative element among peers, provides students the necessary platform and motivations to lead the discussions in the classroom settings.</w:t>
      </w:r>
    </w:p>
    <w:p w14:paraId="3518EB5A" w14:textId="51B59345" w:rsidR="00EC3A66" w:rsidRDefault="00EC3A66" w:rsidP="00510C68">
      <w:pPr>
        <w:pStyle w:val="PlainText"/>
        <w:jc w:val="both"/>
        <w:rPr>
          <w:rFonts w:ascii="Times New Roman" w:hAnsi="Times New Roman"/>
          <w:lang w:val="en-GB"/>
        </w:rPr>
      </w:pPr>
    </w:p>
    <w:p w14:paraId="56A3F05F" w14:textId="097EDCCF" w:rsidR="00487CE5" w:rsidRDefault="00EC3A66" w:rsidP="00BE641E">
      <w:pPr>
        <w:pStyle w:val="PlainText"/>
        <w:ind w:firstLine="284"/>
        <w:jc w:val="both"/>
        <w:rPr>
          <w:rFonts w:ascii="Times New Roman" w:hAnsi="Times New Roman"/>
          <w:color w:val="00B050"/>
          <w:lang w:val="en-GB"/>
        </w:rPr>
      </w:pPr>
      <w:r w:rsidRPr="00B63CEE">
        <w:rPr>
          <w:rFonts w:ascii="Times New Roman" w:hAnsi="Times New Roman"/>
          <w:lang w:val="en-GB"/>
        </w:rPr>
        <w:t xml:space="preserve">Studies have proved that by adopting the pedagogical revolution of active learning method in Science, Technology, Engineering and Mathematics (STEM) </w:t>
      </w:r>
      <w:r w:rsidRPr="00933AAA">
        <w:rPr>
          <w:rFonts w:ascii="Times New Roman" w:hAnsi="Times New Roman"/>
          <w:lang w:val="en-GB"/>
        </w:rPr>
        <w:lastRenderedPageBreak/>
        <w:t xml:space="preserve">modules, students are able to master the subject well (Freeman et al., 2014), </w:t>
      </w:r>
      <w:r w:rsidR="00FE688B" w:rsidRPr="00933AAA">
        <w:rPr>
          <w:rFonts w:ascii="Times New Roman" w:hAnsi="Times New Roman"/>
          <w:lang w:val="en-GB"/>
        </w:rPr>
        <w:t xml:space="preserve">thereby closing the achievement gap between a below-average and above-average STEM student at the expense of supplementary classes </w:t>
      </w:r>
      <w:r w:rsidRPr="00933AAA">
        <w:rPr>
          <w:rFonts w:ascii="Times New Roman" w:hAnsi="Times New Roman"/>
          <w:lang w:val="en-GB"/>
        </w:rPr>
        <w:t xml:space="preserve">(Theobald et al., 2020). </w:t>
      </w:r>
      <w:r w:rsidR="00941573" w:rsidRPr="00933AAA">
        <w:rPr>
          <w:rFonts w:ascii="Times New Roman" w:hAnsi="Times New Roman"/>
          <w:lang w:val="en-GB"/>
        </w:rPr>
        <w:t>This has</w:t>
      </w:r>
      <w:r w:rsidR="00941573" w:rsidRPr="009F1C67">
        <w:rPr>
          <w:rFonts w:ascii="Times New Roman" w:hAnsi="Times New Roman"/>
          <w:lang w:val="en-GB"/>
        </w:rPr>
        <w:t xml:space="preserve"> motivated the author</w:t>
      </w:r>
      <w:r w:rsidR="00C22366">
        <w:rPr>
          <w:rFonts w:ascii="Times New Roman" w:hAnsi="Times New Roman"/>
          <w:lang w:val="en-GB"/>
        </w:rPr>
        <w:t xml:space="preserve">, together with </w:t>
      </w:r>
      <w:r w:rsidR="00933AAA">
        <w:rPr>
          <w:rFonts w:ascii="Times New Roman" w:hAnsi="Times New Roman"/>
          <w:lang w:val="en-GB"/>
        </w:rPr>
        <w:t xml:space="preserve">only a </w:t>
      </w:r>
      <w:r w:rsidR="00C22366" w:rsidRPr="00C22366">
        <w:rPr>
          <w:rFonts w:ascii="Times New Roman" w:hAnsi="Times New Roman"/>
          <w:lang w:val="en-GB"/>
        </w:rPr>
        <w:t>few studies about the pedagogy in pragmatic-based modules as of this writing</w:t>
      </w:r>
      <w:r w:rsidR="00C22366">
        <w:rPr>
          <w:rFonts w:ascii="Times New Roman" w:hAnsi="Times New Roman"/>
          <w:lang w:val="en-GB"/>
        </w:rPr>
        <w:t>,</w:t>
      </w:r>
      <w:r w:rsidR="00941573" w:rsidRPr="009F1C67">
        <w:rPr>
          <w:rFonts w:ascii="Times New Roman" w:hAnsi="Times New Roman"/>
          <w:lang w:val="en-GB"/>
        </w:rPr>
        <w:t xml:space="preserve"> to explore the possibility of adopting this pedagogy </w:t>
      </w:r>
      <w:r w:rsidR="00B9474F" w:rsidRPr="009F1C67">
        <w:rPr>
          <w:rFonts w:ascii="Times New Roman" w:hAnsi="Times New Roman"/>
          <w:lang w:val="en-GB"/>
        </w:rPr>
        <w:t>in</w:t>
      </w:r>
      <w:r w:rsidR="00CE24D7" w:rsidRPr="009F1C67">
        <w:rPr>
          <w:rFonts w:ascii="Times New Roman" w:hAnsi="Times New Roman"/>
          <w:lang w:val="en-GB"/>
        </w:rPr>
        <w:t xml:space="preserve">to </w:t>
      </w:r>
      <w:r w:rsidR="00B9474F" w:rsidRPr="009F1C67">
        <w:rPr>
          <w:rFonts w:ascii="Times New Roman" w:hAnsi="Times New Roman"/>
          <w:lang w:val="en-GB"/>
        </w:rPr>
        <w:t>the pragmatic-based Computer Aided Machining (CAM)</w:t>
      </w:r>
      <w:r w:rsidR="00CE24D7" w:rsidRPr="009F1C67">
        <w:rPr>
          <w:rFonts w:ascii="Times New Roman" w:hAnsi="Times New Roman"/>
          <w:lang w:val="en-GB"/>
        </w:rPr>
        <w:t>, a skillset that was addressed in one of the advanced modules in the second year of Singapore Polytechnic (SP) School of Mechanical and Aeronautical Engineering (MAE) studies</w:t>
      </w:r>
      <w:r w:rsidR="00B9474F" w:rsidRPr="009F1C67">
        <w:rPr>
          <w:rFonts w:ascii="Times New Roman" w:hAnsi="Times New Roman"/>
          <w:lang w:val="en-GB"/>
        </w:rPr>
        <w:t xml:space="preserve">. </w:t>
      </w:r>
    </w:p>
    <w:p w14:paraId="1C302D6D" w14:textId="77777777" w:rsidR="00487CE5" w:rsidRDefault="00487CE5" w:rsidP="00510C68">
      <w:pPr>
        <w:pStyle w:val="PlainText"/>
        <w:jc w:val="both"/>
        <w:rPr>
          <w:rFonts w:ascii="Times New Roman" w:hAnsi="Times New Roman"/>
          <w:color w:val="00B050"/>
          <w:lang w:val="en-GB"/>
        </w:rPr>
      </w:pPr>
    </w:p>
    <w:p w14:paraId="3DDF9A87" w14:textId="29016161" w:rsidR="00EC3A66" w:rsidRDefault="00B9474F" w:rsidP="00BE641E">
      <w:pPr>
        <w:pStyle w:val="PlainText"/>
        <w:ind w:firstLine="284"/>
        <w:jc w:val="both"/>
        <w:rPr>
          <w:rFonts w:ascii="Times New Roman" w:hAnsi="Times New Roman"/>
          <w:color w:val="00B050"/>
          <w:lang w:val="en-GB"/>
        </w:rPr>
      </w:pPr>
      <w:r w:rsidRPr="001C64EF">
        <w:rPr>
          <w:rFonts w:ascii="Times New Roman" w:hAnsi="Times New Roman"/>
          <w:lang w:val="en-GB"/>
        </w:rPr>
        <w:t xml:space="preserve">Pragmatic-based lesson </w:t>
      </w:r>
      <w:r w:rsidR="009F1C67" w:rsidRPr="001C64EF">
        <w:rPr>
          <w:rFonts w:ascii="Times New Roman" w:hAnsi="Times New Roman"/>
          <w:lang w:val="en-GB"/>
        </w:rPr>
        <w:t>often drawn</w:t>
      </w:r>
      <w:r w:rsidRPr="001C64EF">
        <w:rPr>
          <w:rFonts w:ascii="Times New Roman" w:hAnsi="Times New Roman"/>
          <w:lang w:val="en-GB"/>
        </w:rPr>
        <w:t xml:space="preserve"> from a scientific or a technical discipline, emphasizing </w:t>
      </w:r>
      <w:r w:rsidR="009F1C67" w:rsidRPr="001C64EF">
        <w:rPr>
          <w:rFonts w:ascii="Times New Roman" w:hAnsi="Times New Roman"/>
          <w:lang w:val="en-GB"/>
        </w:rPr>
        <w:t xml:space="preserve">on </w:t>
      </w:r>
      <w:r w:rsidR="000D4B2D" w:rsidRPr="001C64EF">
        <w:rPr>
          <w:rFonts w:ascii="Times New Roman" w:hAnsi="Times New Roman"/>
          <w:lang w:val="en-GB"/>
        </w:rPr>
        <w:t>philosophical or practical approach that highlights the practical consequences and usefulness of ideas or actions of real-world problem solving</w:t>
      </w:r>
      <w:r w:rsidRPr="001C64EF">
        <w:rPr>
          <w:rFonts w:ascii="Times New Roman" w:hAnsi="Times New Roman"/>
          <w:lang w:val="en-GB"/>
        </w:rPr>
        <w:t xml:space="preserve">. </w:t>
      </w:r>
      <w:r w:rsidR="002B2BC2" w:rsidRPr="001C64EF">
        <w:rPr>
          <w:rFonts w:ascii="Times New Roman" w:hAnsi="Times New Roman"/>
          <w:lang w:val="en-GB"/>
        </w:rPr>
        <w:t xml:space="preserve">Given the nature of pragmatic-based lessons, where students are required to put their plans into action at the conclusion of their studies, the learning curve is steep if they have little background information or expertise. </w:t>
      </w:r>
      <w:r w:rsidR="00BB7DE5" w:rsidRPr="004D062C">
        <w:rPr>
          <w:rFonts w:ascii="Times New Roman" w:hAnsi="Times New Roman"/>
          <w:lang w:val="en-GB"/>
        </w:rPr>
        <w:t xml:space="preserve">This is apparent in the field of CAM, where students are required to </w:t>
      </w:r>
      <w:r w:rsidR="009E623E" w:rsidRPr="004D062C">
        <w:rPr>
          <w:rFonts w:ascii="Times New Roman" w:hAnsi="Times New Roman"/>
          <w:lang w:val="en-GB"/>
        </w:rPr>
        <w:t>fabricate</w:t>
      </w:r>
      <w:r w:rsidR="00BB7DE5" w:rsidRPr="004D062C">
        <w:rPr>
          <w:rFonts w:ascii="Times New Roman" w:hAnsi="Times New Roman"/>
          <w:lang w:val="en-GB"/>
        </w:rPr>
        <w:t xml:space="preserve"> the part at the </w:t>
      </w:r>
      <w:r w:rsidR="009E623E" w:rsidRPr="004D062C">
        <w:rPr>
          <w:rFonts w:ascii="Times New Roman" w:hAnsi="Times New Roman"/>
          <w:lang w:val="en-GB"/>
        </w:rPr>
        <w:t xml:space="preserve">end </w:t>
      </w:r>
      <w:r w:rsidR="00BB7DE5" w:rsidRPr="004D062C">
        <w:rPr>
          <w:rFonts w:ascii="Times New Roman" w:hAnsi="Times New Roman"/>
          <w:lang w:val="en-GB"/>
        </w:rPr>
        <w:t>of their studies rather than just comprehend the theory.</w:t>
      </w:r>
    </w:p>
    <w:p w14:paraId="5CCBB574" w14:textId="0DFD1BA1" w:rsidR="00A216DE" w:rsidRDefault="00A216DE" w:rsidP="00510C68">
      <w:pPr>
        <w:pStyle w:val="PlainText"/>
        <w:jc w:val="both"/>
        <w:rPr>
          <w:rFonts w:ascii="Times New Roman" w:hAnsi="Times New Roman"/>
          <w:color w:val="00B050"/>
          <w:lang w:val="en-GB"/>
        </w:rPr>
      </w:pPr>
    </w:p>
    <w:p w14:paraId="4219A5F6" w14:textId="7F50DB26" w:rsidR="00A216DE" w:rsidRDefault="00DE122C" w:rsidP="00BE641E">
      <w:pPr>
        <w:pStyle w:val="PlainText"/>
        <w:ind w:firstLine="284"/>
        <w:jc w:val="both"/>
        <w:rPr>
          <w:rFonts w:ascii="Times New Roman" w:hAnsi="Times New Roman"/>
          <w:color w:val="00B050"/>
          <w:lang w:val="en-GB"/>
        </w:rPr>
      </w:pPr>
      <w:r w:rsidRPr="001C64EF">
        <w:rPr>
          <w:rFonts w:ascii="Times New Roman" w:hAnsi="Times New Roman"/>
          <w:lang w:val="en-GB"/>
        </w:rPr>
        <w:t>CAM,</w:t>
      </w:r>
      <w:r w:rsidR="00A216DE" w:rsidRPr="001C64EF">
        <w:rPr>
          <w:rFonts w:ascii="Times New Roman" w:hAnsi="Times New Roman"/>
          <w:lang w:val="en-GB"/>
        </w:rPr>
        <w:t xml:space="preserve"> one of the leading technologies deployed in P</w:t>
      </w:r>
      <w:r w:rsidR="00B63CEE" w:rsidRPr="001C64EF">
        <w:rPr>
          <w:rFonts w:ascii="Times New Roman" w:hAnsi="Times New Roman"/>
          <w:lang w:val="en-GB"/>
        </w:rPr>
        <w:t xml:space="preserve">recision </w:t>
      </w:r>
      <w:r w:rsidR="00A216DE" w:rsidRPr="001C64EF">
        <w:rPr>
          <w:rFonts w:ascii="Times New Roman" w:hAnsi="Times New Roman"/>
          <w:lang w:val="en-GB"/>
        </w:rPr>
        <w:t>E</w:t>
      </w:r>
      <w:r w:rsidR="00B63CEE" w:rsidRPr="001C64EF">
        <w:rPr>
          <w:rFonts w:ascii="Times New Roman" w:hAnsi="Times New Roman"/>
          <w:lang w:val="en-GB"/>
        </w:rPr>
        <w:t>ngineering</w:t>
      </w:r>
      <w:r w:rsidR="00A216DE" w:rsidRPr="001C64EF">
        <w:rPr>
          <w:rFonts w:ascii="Times New Roman" w:hAnsi="Times New Roman"/>
          <w:lang w:val="en-GB"/>
        </w:rPr>
        <w:t xml:space="preserve"> </w:t>
      </w:r>
      <w:r w:rsidR="009B353C">
        <w:rPr>
          <w:rFonts w:ascii="Times New Roman" w:hAnsi="Times New Roman"/>
          <w:lang w:val="en-GB"/>
        </w:rPr>
        <w:t>industries</w:t>
      </w:r>
      <w:r w:rsidR="00A216DE" w:rsidRPr="001C64EF">
        <w:rPr>
          <w:rFonts w:ascii="Times New Roman" w:hAnsi="Times New Roman"/>
          <w:lang w:val="en-GB"/>
        </w:rPr>
        <w:t xml:space="preserve">, is defined as a use of software to introduce toolpaths to control a Computer Numerical Control (CNC) machine to automatically perform the subtractive machining operations and thus, enable the end user to have a highly precise and accurate part. </w:t>
      </w:r>
      <w:r w:rsidR="001C64EF" w:rsidRPr="001C64EF">
        <w:rPr>
          <w:rFonts w:ascii="Times New Roman" w:hAnsi="Times New Roman"/>
          <w:lang w:val="en-GB"/>
        </w:rPr>
        <w:t xml:space="preserve">Understanding the basic principle of machining is </w:t>
      </w:r>
      <w:r w:rsidR="00576E70">
        <w:rPr>
          <w:rFonts w:ascii="Times New Roman" w:hAnsi="Times New Roman"/>
          <w:lang w:val="en-GB"/>
        </w:rPr>
        <w:t xml:space="preserve">thus </w:t>
      </w:r>
      <w:r w:rsidR="001C64EF" w:rsidRPr="001C64EF">
        <w:rPr>
          <w:rFonts w:ascii="Times New Roman" w:hAnsi="Times New Roman"/>
          <w:lang w:val="en-GB"/>
        </w:rPr>
        <w:t xml:space="preserve">crucial for assuring the production of extremely precise parts while maintaining their safety and effectiveness in terms of cost and time. When programming in CAM, learners must be able to envision the cutter movement during the actual cutting process as well as the shape of the materials after each cutting operation, which may be difficult if they are unfamiliar to this technology.  </w:t>
      </w:r>
      <w:r w:rsidR="00234CD8">
        <w:rPr>
          <w:rFonts w:ascii="Times New Roman" w:hAnsi="Times New Roman"/>
          <w:lang w:val="en-GB"/>
        </w:rPr>
        <w:t xml:space="preserve">As shown in Figure 1 below, </w:t>
      </w:r>
      <w:r w:rsidR="009B3271" w:rsidRPr="001C64EF">
        <w:rPr>
          <w:rFonts w:ascii="Times New Roman" w:hAnsi="Times New Roman"/>
          <w:lang w:val="en-GB"/>
        </w:rPr>
        <w:t xml:space="preserve">developing mastery in CAM requires students to attain the highest competency in the Bloom Taxonomy within the 15 weeks of study, which </w:t>
      </w:r>
      <w:r w:rsidR="00234CD8" w:rsidRPr="00234CD8">
        <w:rPr>
          <w:rFonts w:ascii="Times New Roman" w:hAnsi="Times New Roman"/>
          <w:lang w:val="en-GB"/>
        </w:rPr>
        <w:t xml:space="preserve">raises the bar for learners to master this </w:t>
      </w:r>
      <w:r w:rsidR="00234CD8">
        <w:rPr>
          <w:rFonts w:ascii="Times New Roman" w:hAnsi="Times New Roman"/>
          <w:lang w:val="en-GB"/>
        </w:rPr>
        <w:t>skillset</w:t>
      </w:r>
      <w:r w:rsidR="00234CD8" w:rsidRPr="00234CD8">
        <w:rPr>
          <w:rFonts w:ascii="Times New Roman" w:hAnsi="Times New Roman"/>
          <w:lang w:val="en-GB"/>
        </w:rPr>
        <w:t xml:space="preserve"> both conceptually and practically.</w:t>
      </w:r>
    </w:p>
    <w:p w14:paraId="7BA16AEA" w14:textId="7A8F880B" w:rsidR="00B9474F" w:rsidRDefault="00B9474F" w:rsidP="00510C68">
      <w:pPr>
        <w:pStyle w:val="PlainText"/>
        <w:jc w:val="both"/>
        <w:rPr>
          <w:rFonts w:ascii="Times New Roman" w:hAnsi="Times New Roman"/>
          <w:color w:val="00B050"/>
          <w:lang w:val="en-GB"/>
        </w:rPr>
      </w:pPr>
    </w:p>
    <w:p w14:paraId="71488BC9" w14:textId="7DF29944" w:rsidR="003C35D3" w:rsidRDefault="00105EC6" w:rsidP="003C35D3">
      <w:pPr>
        <w:pStyle w:val="PlainText"/>
        <w:keepNext/>
        <w:jc w:val="both"/>
      </w:pPr>
      <w:r>
        <w:rPr>
          <w:noProof/>
        </w:rPr>
        <w:drawing>
          <wp:inline distT="0" distB="0" distL="0" distR="0" wp14:anchorId="5EEEC90D" wp14:editId="3277EB8A">
            <wp:extent cx="2879725" cy="1355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725" cy="1355725"/>
                    </a:xfrm>
                    <a:prstGeom prst="rect">
                      <a:avLst/>
                    </a:prstGeom>
                  </pic:spPr>
                </pic:pic>
              </a:graphicData>
            </a:graphic>
          </wp:inline>
        </w:drawing>
      </w:r>
    </w:p>
    <w:p w14:paraId="5203A3D0" w14:textId="77777777" w:rsidR="003C35D3" w:rsidRDefault="003C35D3" w:rsidP="00F370EA">
      <w:pPr>
        <w:pStyle w:val="Caption"/>
        <w:spacing w:after="0"/>
        <w:jc w:val="both"/>
      </w:pPr>
    </w:p>
    <w:p w14:paraId="6F6303B5" w14:textId="46B5A4B7" w:rsidR="00B9474F" w:rsidRDefault="003C35D3" w:rsidP="00F370EA">
      <w:pPr>
        <w:pStyle w:val="Caption"/>
        <w:spacing w:after="0"/>
        <w:jc w:val="both"/>
      </w:pPr>
      <w:r>
        <w:t xml:space="preserve">Figure </w:t>
      </w:r>
      <w:r>
        <w:fldChar w:fldCharType="begin"/>
      </w:r>
      <w:r>
        <w:instrText xml:space="preserve"> SEQ Figure \* ARABIC </w:instrText>
      </w:r>
      <w:r>
        <w:fldChar w:fldCharType="separate"/>
      </w:r>
      <w:r w:rsidR="00A13C26">
        <w:rPr>
          <w:noProof/>
        </w:rPr>
        <w:t>1</w:t>
      </w:r>
      <w:r>
        <w:fldChar w:fldCharType="end"/>
      </w:r>
      <w:r>
        <w:t xml:space="preserve">: </w:t>
      </w:r>
      <w:r w:rsidRPr="00F85FA1">
        <w:t>Detailed CAM process distribution based on Revised Bloom’s Taxonomy, remodeled with model from Vanderbilt University Center for Teaching under Common Creative Attribution license</w:t>
      </w:r>
    </w:p>
    <w:p w14:paraId="417CD334" w14:textId="77777777" w:rsidR="00895AD7" w:rsidRPr="00895AD7" w:rsidRDefault="00895AD7" w:rsidP="00895AD7"/>
    <w:p w14:paraId="0EB45A98" w14:textId="19C2D653" w:rsidR="00510C68" w:rsidRPr="00510C68" w:rsidRDefault="00510C68" w:rsidP="00BE641E">
      <w:pPr>
        <w:pStyle w:val="PlainText"/>
        <w:ind w:firstLine="284"/>
        <w:jc w:val="both"/>
        <w:rPr>
          <w:rFonts w:ascii="Times New Roman" w:hAnsi="Times New Roman"/>
          <w:lang w:val="en-GB"/>
        </w:rPr>
      </w:pPr>
      <w:r w:rsidRPr="00510C68">
        <w:rPr>
          <w:rFonts w:ascii="Times New Roman" w:hAnsi="Times New Roman"/>
          <w:lang w:val="en-GB"/>
        </w:rPr>
        <w:t xml:space="preserve">This paper researched on active-collaborative learning (ACL) in </w:t>
      </w:r>
      <w:r w:rsidR="00DE122C">
        <w:rPr>
          <w:rFonts w:ascii="Times New Roman" w:hAnsi="Times New Roman"/>
          <w:lang w:val="en-GB"/>
        </w:rPr>
        <w:t>CAM</w:t>
      </w:r>
      <w:r w:rsidRPr="00510C68">
        <w:rPr>
          <w:rFonts w:ascii="Times New Roman" w:hAnsi="Times New Roman"/>
          <w:lang w:val="en-GB"/>
        </w:rPr>
        <w:t xml:space="preserve"> module. The groups involved in this study were the </w:t>
      </w:r>
      <w:r w:rsidR="007F7F05">
        <w:rPr>
          <w:rFonts w:ascii="Times New Roman" w:hAnsi="Times New Roman"/>
          <w:lang w:val="en-GB"/>
        </w:rPr>
        <w:t>SP</w:t>
      </w:r>
      <w:r w:rsidRPr="00510C68">
        <w:rPr>
          <w:rFonts w:ascii="Times New Roman" w:hAnsi="Times New Roman"/>
          <w:lang w:val="en-GB"/>
        </w:rPr>
        <w:t xml:space="preserve"> Year 2 Diploma in Mechanical Engineering (DME) students. A study was carried out to differentiate the outcome of quizzes results between the two groups, with surveys and questionnaires conducted after the completion of learning of a major skillset. Two area of concerns were addressed in this paper:</w:t>
      </w:r>
    </w:p>
    <w:p w14:paraId="38043D54" w14:textId="77777777" w:rsidR="00510C68" w:rsidRPr="00510C68" w:rsidRDefault="00510C68" w:rsidP="00510C68">
      <w:pPr>
        <w:pStyle w:val="PlainText"/>
        <w:jc w:val="both"/>
        <w:rPr>
          <w:rFonts w:ascii="Times New Roman" w:hAnsi="Times New Roman"/>
          <w:lang w:val="en-GB"/>
        </w:rPr>
      </w:pPr>
    </w:p>
    <w:p w14:paraId="15B19DA1" w14:textId="77777777" w:rsidR="00510C68" w:rsidRPr="00510C68" w:rsidRDefault="00510C68" w:rsidP="00510C68">
      <w:pPr>
        <w:pStyle w:val="PlainText"/>
        <w:jc w:val="both"/>
        <w:rPr>
          <w:rFonts w:ascii="Times New Roman" w:hAnsi="Times New Roman"/>
          <w:lang w:val="en-GB"/>
        </w:rPr>
      </w:pPr>
      <w:r w:rsidRPr="00510C68">
        <w:rPr>
          <w:rFonts w:ascii="Times New Roman" w:hAnsi="Times New Roman"/>
          <w:lang w:val="en-GB"/>
        </w:rPr>
        <w:t>(a)</w:t>
      </w:r>
      <w:r w:rsidRPr="00510C68">
        <w:rPr>
          <w:rFonts w:ascii="Times New Roman" w:hAnsi="Times New Roman"/>
          <w:lang w:val="en-GB"/>
        </w:rPr>
        <w:tab/>
        <w:t>The ACL improved students’ performances in terms of assessments scores.</w:t>
      </w:r>
    </w:p>
    <w:p w14:paraId="59F8E25C" w14:textId="77777777" w:rsidR="00510C68" w:rsidRPr="00510C68" w:rsidRDefault="00510C68" w:rsidP="00510C68">
      <w:pPr>
        <w:pStyle w:val="PlainText"/>
        <w:jc w:val="both"/>
        <w:rPr>
          <w:rFonts w:ascii="Times New Roman" w:hAnsi="Times New Roman"/>
          <w:lang w:val="en-GB"/>
        </w:rPr>
      </w:pPr>
    </w:p>
    <w:p w14:paraId="7F983742" w14:textId="3C10B817" w:rsidR="00510C68" w:rsidRDefault="00510C68" w:rsidP="00510C68">
      <w:pPr>
        <w:pStyle w:val="PlainText"/>
        <w:jc w:val="both"/>
        <w:rPr>
          <w:rFonts w:ascii="Times New Roman" w:hAnsi="Times New Roman"/>
          <w:lang w:val="en-GB"/>
        </w:rPr>
      </w:pPr>
      <w:r w:rsidRPr="00510C68">
        <w:rPr>
          <w:rFonts w:ascii="Times New Roman" w:hAnsi="Times New Roman"/>
          <w:lang w:val="en-GB"/>
        </w:rPr>
        <w:t>(b)</w:t>
      </w:r>
      <w:r w:rsidRPr="00510C68">
        <w:rPr>
          <w:rFonts w:ascii="Times New Roman" w:hAnsi="Times New Roman"/>
          <w:lang w:val="en-GB"/>
        </w:rPr>
        <w:tab/>
        <w:t>The ACL was able to engage and motivate students to learn better prior and during class.</w:t>
      </w:r>
    </w:p>
    <w:p w14:paraId="4EC54E50" w14:textId="3009830E" w:rsidR="00DF2511" w:rsidRDefault="00DF2511">
      <w:pPr>
        <w:pStyle w:val="PlainText"/>
        <w:jc w:val="both"/>
        <w:rPr>
          <w:rFonts w:ascii="Times New Roman" w:hAnsi="Times New Roman"/>
          <w:lang w:val="en-GB"/>
        </w:rPr>
      </w:pPr>
    </w:p>
    <w:p w14:paraId="77F5861A" w14:textId="77777777" w:rsidR="00B9474F" w:rsidRPr="003E0719" w:rsidRDefault="00B9474F">
      <w:pPr>
        <w:pStyle w:val="PlainText"/>
        <w:jc w:val="both"/>
        <w:rPr>
          <w:rFonts w:ascii="Times New Roman" w:hAnsi="Times New Roman"/>
          <w:lang w:val="en-GB"/>
        </w:rPr>
      </w:pPr>
    </w:p>
    <w:p w14:paraId="378A3B84" w14:textId="453B73E4" w:rsidR="00A94A51" w:rsidRPr="003E0719" w:rsidRDefault="005506B2">
      <w:pPr>
        <w:pStyle w:val="PlainText"/>
        <w:jc w:val="both"/>
        <w:outlineLvl w:val="0"/>
        <w:rPr>
          <w:rFonts w:ascii="Times New Roman" w:hAnsi="Times New Roman"/>
          <w:b/>
          <w:lang w:val="en-GB"/>
        </w:rPr>
      </w:pPr>
      <w:r>
        <w:rPr>
          <w:rFonts w:ascii="Times New Roman" w:hAnsi="Times New Roman"/>
          <w:b/>
          <w:lang w:val="en-GB"/>
        </w:rPr>
        <w:t>Methodology</w:t>
      </w:r>
    </w:p>
    <w:p w14:paraId="4D1A0BB2" w14:textId="77777777" w:rsidR="00320DB3" w:rsidRPr="003E0719" w:rsidRDefault="00320DB3" w:rsidP="00320DB3">
      <w:pPr>
        <w:rPr>
          <w:sz w:val="20"/>
          <w:lang w:val="en-GB" w:eastAsia="ja-JP"/>
        </w:rPr>
      </w:pPr>
    </w:p>
    <w:p w14:paraId="0AC1BB61" w14:textId="7623207B" w:rsidR="00833417" w:rsidRDefault="001358F5" w:rsidP="00833417">
      <w:pPr>
        <w:keepNext/>
        <w:jc w:val="center"/>
      </w:pPr>
      <w:r>
        <w:rPr>
          <w:noProof/>
        </w:rPr>
        <w:drawing>
          <wp:inline distT="0" distB="0" distL="0" distR="0" wp14:anchorId="3CA1F530" wp14:editId="1ED2687D">
            <wp:extent cx="2879725" cy="14300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1430020"/>
                    </a:xfrm>
                    <a:prstGeom prst="rect">
                      <a:avLst/>
                    </a:prstGeom>
                  </pic:spPr>
                </pic:pic>
              </a:graphicData>
            </a:graphic>
          </wp:inline>
        </w:drawing>
      </w:r>
    </w:p>
    <w:p w14:paraId="402562A7" w14:textId="77777777" w:rsidR="00B30245" w:rsidRDefault="00B30245" w:rsidP="00F370EA">
      <w:pPr>
        <w:pStyle w:val="Caption"/>
        <w:spacing w:after="0"/>
      </w:pPr>
    </w:p>
    <w:p w14:paraId="578D7CA4" w14:textId="4D802581" w:rsidR="00EC6119" w:rsidRDefault="00833417" w:rsidP="00F370EA">
      <w:pPr>
        <w:pStyle w:val="Caption"/>
        <w:spacing w:after="0"/>
      </w:pPr>
      <w:r>
        <w:t xml:space="preserve">Figure </w:t>
      </w:r>
      <w:r>
        <w:fldChar w:fldCharType="begin"/>
      </w:r>
      <w:r>
        <w:instrText xml:space="preserve"> SEQ Figure \* ARABIC </w:instrText>
      </w:r>
      <w:r>
        <w:fldChar w:fldCharType="separate"/>
      </w:r>
      <w:r w:rsidR="00A13C26">
        <w:rPr>
          <w:noProof/>
        </w:rPr>
        <w:t>2</w:t>
      </w:r>
      <w:r>
        <w:fldChar w:fldCharType="end"/>
      </w:r>
      <w:r>
        <w:t>: ACL Concept Flowchart</w:t>
      </w:r>
    </w:p>
    <w:p w14:paraId="1D3D036B" w14:textId="77777777" w:rsidR="00D8560C" w:rsidRPr="00D8560C" w:rsidRDefault="00D8560C" w:rsidP="00BC07D4"/>
    <w:p w14:paraId="303EFB5A" w14:textId="622DA823" w:rsidR="00EC6119" w:rsidRPr="00EC6119" w:rsidRDefault="00EC6119" w:rsidP="00BC07D4">
      <w:pPr>
        <w:ind w:firstLine="284"/>
        <w:jc w:val="both"/>
        <w:rPr>
          <w:bCs/>
          <w:sz w:val="20"/>
          <w:lang w:val="en-GB" w:eastAsia="de-DE"/>
        </w:rPr>
      </w:pPr>
      <w:r w:rsidRPr="003A1AEA">
        <w:rPr>
          <w:bCs/>
          <w:sz w:val="20"/>
          <w:lang w:val="en-GB" w:eastAsia="de-DE"/>
        </w:rPr>
        <w:t xml:space="preserve">Figure </w:t>
      </w:r>
      <w:r w:rsidR="006F265E" w:rsidRPr="003A1AEA">
        <w:rPr>
          <w:bCs/>
          <w:sz w:val="20"/>
          <w:lang w:val="en-GB" w:eastAsia="de-DE"/>
        </w:rPr>
        <w:t>2</w:t>
      </w:r>
      <w:r w:rsidRPr="003A1AEA">
        <w:rPr>
          <w:bCs/>
          <w:sz w:val="20"/>
          <w:lang w:val="en-GB" w:eastAsia="de-DE"/>
        </w:rPr>
        <w:t xml:space="preserve"> </w:t>
      </w:r>
      <w:r w:rsidRPr="00EC6119">
        <w:rPr>
          <w:bCs/>
          <w:sz w:val="20"/>
          <w:lang w:val="en-GB" w:eastAsia="de-DE"/>
        </w:rPr>
        <w:t xml:space="preserve">illustrates the concept flowchart of the active-collaborative method that the author has deployed in this study. </w:t>
      </w:r>
      <w:r w:rsidR="002E4228">
        <w:rPr>
          <w:bCs/>
          <w:sz w:val="20"/>
          <w:lang w:val="en-GB" w:eastAsia="de-DE"/>
        </w:rPr>
        <w:t>Two primary activities were deployed to facilitate this implementation</w:t>
      </w:r>
      <w:r w:rsidRPr="00EC6119">
        <w:rPr>
          <w:bCs/>
          <w:sz w:val="20"/>
          <w:lang w:val="en-GB" w:eastAsia="de-DE"/>
        </w:rPr>
        <w:t xml:space="preserve">: the pre-class preparation and in-class activity. Microsoft (MS) Teams was the main communication platform for </w:t>
      </w:r>
      <w:r w:rsidR="002E4228" w:rsidRPr="00EC6119">
        <w:rPr>
          <w:bCs/>
          <w:sz w:val="20"/>
          <w:lang w:val="en-GB" w:eastAsia="de-DE"/>
        </w:rPr>
        <w:t>all</w:t>
      </w:r>
      <w:r w:rsidR="002E4228">
        <w:rPr>
          <w:bCs/>
          <w:sz w:val="20"/>
          <w:lang w:val="en-GB" w:eastAsia="de-DE"/>
        </w:rPr>
        <w:t xml:space="preserve"> assignment submissions</w:t>
      </w:r>
      <w:r w:rsidR="003A1AEA">
        <w:rPr>
          <w:bCs/>
          <w:sz w:val="20"/>
          <w:lang w:val="en-GB" w:eastAsia="de-DE"/>
        </w:rPr>
        <w:t>.</w:t>
      </w:r>
    </w:p>
    <w:p w14:paraId="7B3D8B9A" w14:textId="77777777" w:rsidR="00EC6119" w:rsidRPr="00EC6119" w:rsidRDefault="00EC6119" w:rsidP="00EC6119">
      <w:pPr>
        <w:jc w:val="both"/>
        <w:rPr>
          <w:bCs/>
          <w:sz w:val="20"/>
          <w:lang w:val="en-GB" w:eastAsia="de-DE"/>
        </w:rPr>
      </w:pPr>
    </w:p>
    <w:p w14:paraId="03217FF8" w14:textId="77777777" w:rsidR="00EC6119" w:rsidRPr="00EC6119" w:rsidRDefault="00EC6119" w:rsidP="002E4228">
      <w:pPr>
        <w:ind w:left="284"/>
        <w:jc w:val="both"/>
        <w:rPr>
          <w:bCs/>
          <w:sz w:val="20"/>
          <w:lang w:val="en-GB" w:eastAsia="de-DE"/>
        </w:rPr>
      </w:pPr>
      <w:r w:rsidRPr="00EC6119">
        <w:rPr>
          <w:bCs/>
          <w:sz w:val="20"/>
          <w:lang w:val="en-GB" w:eastAsia="de-DE"/>
        </w:rPr>
        <w:t>The objectives for pre-class preparation were:</w:t>
      </w:r>
    </w:p>
    <w:p w14:paraId="37370BA9" w14:textId="77777777" w:rsidR="00EC6119" w:rsidRPr="00EC6119" w:rsidRDefault="00EC6119" w:rsidP="00EC6119">
      <w:pPr>
        <w:jc w:val="both"/>
        <w:rPr>
          <w:bCs/>
          <w:sz w:val="20"/>
          <w:lang w:val="en-GB" w:eastAsia="de-DE"/>
        </w:rPr>
      </w:pPr>
      <w:r w:rsidRPr="00EC6119">
        <w:rPr>
          <w:bCs/>
          <w:sz w:val="20"/>
          <w:lang w:val="en-GB" w:eastAsia="de-DE"/>
        </w:rPr>
        <w:t>•</w:t>
      </w:r>
      <w:r w:rsidRPr="00EC6119">
        <w:rPr>
          <w:bCs/>
          <w:sz w:val="20"/>
          <w:lang w:val="en-GB" w:eastAsia="de-DE"/>
        </w:rPr>
        <w:tab/>
        <w:t xml:space="preserve">To enable students to summarize the lecture contents after reviewing. </w:t>
      </w:r>
    </w:p>
    <w:p w14:paraId="55C71F92" w14:textId="77777777" w:rsidR="00EC6119" w:rsidRPr="00EC6119" w:rsidRDefault="00EC6119" w:rsidP="00EC6119">
      <w:pPr>
        <w:jc w:val="both"/>
        <w:rPr>
          <w:bCs/>
          <w:sz w:val="20"/>
          <w:lang w:val="en-GB" w:eastAsia="de-DE"/>
        </w:rPr>
      </w:pPr>
      <w:r w:rsidRPr="00EC6119">
        <w:rPr>
          <w:bCs/>
          <w:sz w:val="20"/>
          <w:lang w:val="en-GB" w:eastAsia="de-DE"/>
        </w:rPr>
        <w:t>•</w:t>
      </w:r>
      <w:r w:rsidRPr="00EC6119">
        <w:rPr>
          <w:bCs/>
          <w:sz w:val="20"/>
          <w:lang w:val="en-GB" w:eastAsia="de-DE"/>
        </w:rPr>
        <w:tab/>
        <w:t>To enable students to apply the fundamentals that they have learnt to perform toolpath programming operations.</w:t>
      </w:r>
    </w:p>
    <w:p w14:paraId="53131854" w14:textId="77777777" w:rsidR="00EC6119" w:rsidRPr="00EC6119" w:rsidRDefault="00EC6119" w:rsidP="00EC6119">
      <w:pPr>
        <w:jc w:val="both"/>
        <w:rPr>
          <w:bCs/>
          <w:sz w:val="20"/>
          <w:lang w:val="en-GB" w:eastAsia="de-DE"/>
        </w:rPr>
      </w:pPr>
    </w:p>
    <w:p w14:paraId="1E9924C3" w14:textId="77777777" w:rsidR="00EC6119" w:rsidRPr="00EC6119" w:rsidRDefault="00EC6119" w:rsidP="002E4228">
      <w:pPr>
        <w:ind w:firstLine="284"/>
        <w:jc w:val="both"/>
        <w:rPr>
          <w:bCs/>
          <w:sz w:val="20"/>
          <w:lang w:val="en-GB" w:eastAsia="de-DE"/>
        </w:rPr>
      </w:pPr>
      <w:r w:rsidRPr="00EC6119">
        <w:rPr>
          <w:bCs/>
          <w:sz w:val="20"/>
          <w:lang w:val="en-GB" w:eastAsia="de-DE"/>
        </w:rPr>
        <w:t>The objectives for in-class activity were:</w:t>
      </w:r>
    </w:p>
    <w:p w14:paraId="742402EF" w14:textId="77777777" w:rsidR="00EC6119" w:rsidRPr="00EC6119" w:rsidRDefault="00EC6119" w:rsidP="00EC6119">
      <w:pPr>
        <w:jc w:val="both"/>
        <w:rPr>
          <w:bCs/>
          <w:sz w:val="20"/>
          <w:lang w:val="en-GB" w:eastAsia="de-DE"/>
        </w:rPr>
      </w:pPr>
      <w:r w:rsidRPr="00EC6119">
        <w:rPr>
          <w:bCs/>
          <w:sz w:val="20"/>
          <w:lang w:val="en-GB" w:eastAsia="de-DE"/>
        </w:rPr>
        <w:t>•</w:t>
      </w:r>
      <w:r w:rsidRPr="00EC6119">
        <w:rPr>
          <w:bCs/>
          <w:sz w:val="20"/>
          <w:lang w:val="en-GB" w:eastAsia="de-DE"/>
        </w:rPr>
        <w:tab/>
        <w:t>To enable students to explain and justify their solutions, prompting a recall process of what they have learnt.</w:t>
      </w:r>
    </w:p>
    <w:p w14:paraId="24919093" w14:textId="77777777" w:rsidR="00EC6119" w:rsidRPr="00EC6119" w:rsidRDefault="00EC6119" w:rsidP="00EC6119">
      <w:pPr>
        <w:jc w:val="both"/>
        <w:rPr>
          <w:bCs/>
          <w:sz w:val="20"/>
          <w:lang w:val="en-GB" w:eastAsia="de-DE"/>
        </w:rPr>
      </w:pPr>
      <w:r w:rsidRPr="00EC6119">
        <w:rPr>
          <w:bCs/>
          <w:sz w:val="20"/>
          <w:lang w:val="en-GB" w:eastAsia="de-DE"/>
        </w:rPr>
        <w:t>•</w:t>
      </w:r>
      <w:r w:rsidRPr="00EC6119">
        <w:rPr>
          <w:bCs/>
          <w:sz w:val="20"/>
          <w:lang w:val="en-GB" w:eastAsia="de-DE"/>
        </w:rPr>
        <w:tab/>
        <w:t>To enable students to cross-refer their solutions with their peer, reflecting about where were the similarities and differences between the solutions.</w:t>
      </w:r>
    </w:p>
    <w:p w14:paraId="7F6413B7" w14:textId="77777777" w:rsidR="00EC6119" w:rsidRPr="00EC6119" w:rsidRDefault="00EC6119" w:rsidP="00EC6119">
      <w:pPr>
        <w:jc w:val="both"/>
        <w:rPr>
          <w:bCs/>
          <w:sz w:val="20"/>
          <w:lang w:val="en-GB" w:eastAsia="de-DE"/>
        </w:rPr>
      </w:pPr>
      <w:r w:rsidRPr="00EC6119">
        <w:rPr>
          <w:bCs/>
          <w:sz w:val="20"/>
          <w:lang w:val="en-GB" w:eastAsia="de-DE"/>
        </w:rPr>
        <w:t>•</w:t>
      </w:r>
      <w:r w:rsidRPr="00EC6119">
        <w:rPr>
          <w:bCs/>
          <w:sz w:val="20"/>
          <w:lang w:val="en-GB" w:eastAsia="de-DE"/>
        </w:rPr>
        <w:tab/>
        <w:t>To enable students to respond to their peers’ queries, allowing them to have a better peer-to-peer learning.</w:t>
      </w:r>
    </w:p>
    <w:p w14:paraId="3D555C26" w14:textId="77777777" w:rsidR="00EC6119" w:rsidRPr="00EC6119" w:rsidRDefault="00EC6119" w:rsidP="00EC6119">
      <w:pPr>
        <w:jc w:val="both"/>
        <w:rPr>
          <w:bCs/>
          <w:sz w:val="20"/>
          <w:lang w:val="en-GB" w:eastAsia="de-DE"/>
        </w:rPr>
      </w:pPr>
      <w:r w:rsidRPr="00EC6119">
        <w:rPr>
          <w:bCs/>
          <w:sz w:val="20"/>
          <w:lang w:val="en-GB" w:eastAsia="de-DE"/>
        </w:rPr>
        <w:t>•</w:t>
      </w:r>
      <w:r w:rsidRPr="00EC6119">
        <w:rPr>
          <w:bCs/>
          <w:sz w:val="20"/>
          <w:lang w:val="en-GB" w:eastAsia="de-DE"/>
        </w:rPr>
        <w:tab/>
        <w:t>To allow lecturer to gauge the student’s level of understanding with a role-swapping activity.</w:t>
      </w:r>
    </w:p>
    <w:p w14:paraId="6A446292" w14:textId="2C4D50BB" w:rsidR="005F070B" w:rsidRDefault="005F070B" w:rsidP="00EC6119">
      <w:pPr>
        <w:jc w:val="both"/>
        <w:rPr>
          <w:bCs/>
          <w:sz w:val="20"/>
          <w:lang w:val="en-GB" w:eastAsia="de-DE"/>
        </w:rPr>
      </w:pPr>
    </w:p>
    <w:p w14:paraId="2D1ECF7B" w14:textId="120A6858" w:rsidR="008B58F6" w:rsidRDefault="008B58F6" w:rsidP="00EC6119">
      <w:pPr>
        <w:jc w:val="both"/>
        <w:rPr>
          <w:bCs/>
          <w:sz w:val="20"/>
          <w:lang w:val="en-GB" w:eastAsia="de-DE"/>
        </w:rPr>
      </w:pPr>
    </w:p>
    <w:p w14:paraId="3451B676" w14:textId="3DD19313" w:rsidR="008B58F6" w:rsidRDefault="008B58F6" w:rsidP="00EC6119">
      <w:pPr>
        <w:jc w:val="both"/>
        <w:rPr>
          <w:bCs/>
          <w:sz w:val="20"/>
          <w:lang w:val="en-GB" w:eastAsia="de-DE"/>
        </w:rPr>
      </w:pPr>
    </w:p>
    <w:p w14:paraId="2C042150" w14:textId="77777777" w:rsidR="008B58F6" w:rsidRDefault="008B58F6" w:rsidP="00EC6119">
      <w:pPr>
        <w:jc w:val="both"/>
        <w:rPr>
          <w:bCs/>
          <w:sz w:val="20"/>
          <w:lang w:val="en-GB" w:eastAsia="de-DE"/>
        </w:rPr>
      </w:pPr>
    </w:p>
    <w:p w14:paraId="044131ED" w14:textId="657F9357" w:rsidR="00EC6119" w:rsidRPr="003A1AEA" w:rsidRDefault="00EC6119" w:rsidP="00EC6119">
      <w:pPr>
        <w:jc w:val="both"/>
        <w:rPr>
          <w:bCs/>
          <w:i/>
          <w:iCs/>
          <w:sz w:val="20"/>
          <w:lang w:val="en-GB" w:eastAsia="de-DE"/>
        </w:rPr>
      </w:pPr>
      <w:r w:rsidRPr="003A1AEA">
        <w:rPr>
          <w:bCs/>
          <w:i/>
          <w:iCs/>
          <w:sz w:val="20"/>
          <w:lang w:val="en-GB" w:eastAsia="de-DE"/>
        </w:rPr>
        <w:lastRenderedPageBreak/>
        <w:t>Pre-class preparation:</w:t>
      </w:r>
    </w:p>
    <w:p w14:paraId="5424FCEE" w14:textId="77777777" w:rsidR="00EC6119" w:rsidRPr="00EC6119" w:rsidRDefault="00EC6119" w:rsidP="00EC6119">
      <w:pPr>
        <w:jc w:val="both"/>
        <w:rPr>
          <w:bCs/>
          <w:sz w:val="20"/>
          <w:lang w:val="en-GB" w:eastAsia="de-DE"/>
        </w:rPr>
      </w:pPr>
    </w:p>
    <w:p w14:paraId="2A081A44" w14:textId="2337F69E" w:rsidR="00EC6119" w:rsidRDefault="00FF01C8" w:rsidP="00412470">
      <w:pPr>
        <w:ind w:firstLine="284"/>
        <w:jc w:val="both"/>
        <w:rPr>
          <w:bCs/>
          <w:sz w:val="20"/>
          <w:lang w:val="en-GB" w:eastAsia="de-DE"/>
        </w:rPr>
      </w:pPr>
      <w:r w:rsidRPr="00FF01C8">
        <w:rPr>
          <w:bCs/>
          <w:sz w:val="20"/>
          <w:lang w:val="en-GB" w:eastAsia="de-DE"/>
        </w:rPr>
        <w:t>Students were told on the objectives of the activities during the first class so that th</w:t>
      </w:r>
      <w:r w:rsidR="00545B45">
        <w:rPr>
          <w:bCs/>
          <w:sz w:val="20"/>
          <w:lang w:val="en-GB" w:eastAsia="de-DE"/>
        </w:rPr>
        <w:t>ey were mor</w:t>
      </w:r>
      <w:r w:rsidRPr="00FF01C8">
        <w:rPr>
          <w:bCs/>
          <w:sz w:val="20"/>
          <w:lang w:val="en-GB" w:eastAsia="de-DE"/>
        </w:rPr>
        <w:t>e appreciative of t</w:t>
      </w:r>
      <w:r w:rsidR="00545B45">
        <w:rPr>
          <w:bCs/>
          <w:sz w:val="20"/>
          <w:lang w:val="en-GB" w:eastAsia="de-DE"/>
        </w:rPr>
        <w:t>he</w:t>
      </w:r>
      <w:r w:rsidRPr="00FF01C8">
        <w:rPr>
          <w:bCs/>
          <w:sz w:val="20"/>
          <w:lang w:val="en-GB" w:eastAsia="de-DE"/>
        </w:rPr>
        <w:t xml:space="preserve"> activities and therefore boost their involvement and </w:t>
      </w:r>
      <w:r w:rsidRPr="00A40A7F">
        <w:rPr>
          <w:bCs/>
          <w:sz w:val="20"/>
          <w:lang w:val="en-GB" w:eastAsia="de-DE"/>
        </w:rPr>
        <w:t xml:space="preserve">commitment </w:t>
      </w:r>
      <w:r w:rsidR="00EC6119" w:rsidRPr="00A40A7F">
        <w:rPr>
          <w:bCs/>
          <w:sz w:val="20"/>
          <w:lang w:val="en-GB" w:eastAsia="de-DE"/>
        </w:rPr>
        <w:t xml:space="preserve">to both the pre-class and in-class activities (Deslauriers et al., 2019; Owens et al., 2020; Prince et al., 2006). </w:t>
      </w:r>
      <w:r w:rsidR="00C07348" w:rsidRPr="00A40A7F">
        <w:rPr>
          <w:bCs/>
          <w:sz w:val="20"/>
          <w:lang w:val="en-GB" w:eastAsia="de-DE"/>
        </w:rPr>
        <w:t xml:space="preserve">In order to show an unbiased selection process for </w:t>
      </w:r>
      <w:r w:rsidR="002A543F" w:rsidRPr="00A40A7F">
        <w:rPr>
          <w:bCs/>
          <w:sz w:val="20"/>
          <w:lang w:val="en-GB" w:eastAsia="de-DE"/>
        </w:rPr>
        <w:t>presenters</w:t>
      </w:r>
      <w:r w:rsidR="00C07348" w:rsidRPr="00A40A7F">
        <w:rPr>
          <w:bCs/>
          <w:sz w:val="20"/>
          <w:lang w:val="en-GB" w:eastAsia="de-DE"/>
        </w:rPr>
        <w:t>, students</w:t>
      </w:r>
      <w:r w:rsidR="00C07348" w:rsidRPr="00C07348">
        <w:rPr>
          <w:bCs/>
          <w:sz w:val="20"/>
          <w:lang w:val="en-GB" w:eastAsia="de-DE"/>
        </w:rPr>
        <w:t xml:space="preserve"> were informed of the procedure and ground rules.</w:t>
      </w:r>
    </w:p>
    <w:p w14:paraId="50274E8C" w14:textId="77777777" w:rsidR="00C07348" w:rsidRPr="00EC6119" w:rsidRDefault="00C07348" w:rsidP="00412470">
      <w:pPr>
        <w:ind w:firstLine="284"/>
        <w:jc w:val="both"/>
        <w:rPr>
          <w:bCs/>
          <w:sz w:val="20"/>
          <w:lang w:val="en-GB" w:eastAsia="de-DE"/>
        </w:rPr>
      </w:pPr>
    </w:p>
    <w:p w14:paraId="1D457AF6" w14:textId="62A7122A" w:rsidR="00EC6119" w:rsidRDefault="00EC6119" w:rsidP="00412470">
      <w:pPr>
        <w:ind w:firstLine="284"/>
        <w:jc w:val="both"/>
        <w:rPr>
          <w:bCs/>
          <w:sz w:val="20"/>
          <w:lang w:val="en-GB" w:eastAsia="de-DE"/>
        </w:rPr>
      </w:pPr>
      <w:r w:rsidRPr="00EC6119">
        <w:rPr>
          <w:bCs/>
          <w:sz w:val="20"/>
          <w:lang w:val="en-GB" w:eastAsia="de-DE"/>
        </w:rPr>
        <w:t>Worksheet was distributed through MS Teams in advance and students were required to submit their solution through MS Teams prior to the class.</w:t>
      </w:r>
    </w:p>
    <w:p w14:paraId="3E70C7D3" w14:textId="07AEB915" w:rsidR="00EC6119" w:rsidRDefault="00EC6119" w:rsidP="00EC6119">
      <w:pPr>
        <w:jc w:val="both"/>
        <w:rPr>
          <w:bCs/>
          <w:sz w:val="20"/>
          <w:lang w:val="en-GB" w:eastAsia="de-DE"/>
        </w:rPr>
      </w:pPr>
    </w:p>
    <w:p w14:paraId="66D45D2D" w14:textId="77777777" w:rsidR="007E63BC" w:rsidRDefault="00EC6119" w:rsidP="007E63BC">
      <w:pPr>
        <w:keepNext/>
        <w:jc w:val="center"/>
      </w:pPr>
      <w:r w:rsidRPr="006A5E16">
        <w:rPr>
          <w:noProof/>
          <w:lang w:val="en-SG" w:eastAsia="en-SG"/>
        </w:rPr>
        <w:drawing>
          <wp:inline distT="0" distB="0" distL="0" distR="0" wp14:anchorId="55269200" wp14:editId="4ED34BB3">
            <wp:extent cx="2879725" cy="1406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t="14908" r="15994" b="12352"/>
                    <a:stretch>
                      <a:fillRect/>
                    </a:stretch>
                  </pic:blipFill>
                  <pic:spPr bwMode="auto">
                    <a:xfrm>
                      <a:off x="0" y="0"/>
                      <a:ext cx="2879725" cy="1406525"/>
                    </a:xfrm>
                    <a:prstGeom prst="rect">
                      <a:avLst/>
                    </a:prstGeom>
                    <a:noFill/>
                    <a:ln>
                      <a:noFill/>
                    </a:ln>
                  </pic:spPr>
                </pic:pic>
              </a:graphicData>
            </a:graphic>
          </wp:inline>
        </w:drawing>
      </w:r>
    </w:p>
    <w:p w14:paraId="42273E86" w14:textId="77777777" w:rsidR="007E63BC" w:rsidRDefault="007E63BC" w:rsidP="00496757">
      <w:pPr>
        <w:pStyle w:val="Caption"/>
        <w:spacing w:after="0"/>
      </w:pPr>
    </w:p>
    <w:p w14:paraId="54FEFC6C" w14:textId="7851A36C" w:rsidR="00EC6119" w:rsidRDefault="007E63BC" w:rsidP="00496757">
      <w:pPr>
        <w:pStyle w:val="Caption"/>
        <w:spacing w:after="0"/>
        <w:rPr>
          <w:bCs/>
          <w:sz w:val="20"/>
          <w:lang w:val="en-GB" w:eastAsia="de-DE"/>
        </w:rPr>
      </w:pPr>
      <w:r>
        <w:t xml:space="preserve">Figure </w:t>
      </w:r>
      <w:r>
        <w:fldChar w:fldCharType="begin"/>
      </w:r>
      <w:r>
        <w:instrText xml:space="preserve"> SEQ Figure \* ARABIC </w:instrText>
      </w:r>
      <w:r>
        <w:fldChar w:fldCharType="separate"/>
      </w:r>
      <w:r w:rsidR="00A13C26">
        <w:rPr>
          <w:noProof/>
        </w:rPr>
        <w:t>3</w:t>
      </w:r>
      <w:r>
        <w:fldChar w:fldCharType="end"/>
      </w:r>
      <w:r>
        <w:t>: Screenshot of instructions using Microsoft Teams</w:t>
      </w:r>
    </w:p>
    <w:p w14:paraId="3680B17F" w14:textId="022637E5" w:rsidR="00EC6119" w:rsidRDefault="00EC6119" w:rsidP="00EC6119">
      <w:pPr>
        <w:jc w:val="center"/>
        <w:rPr>
          <w:bCs/>
          <w:sz w:val="20"/>
          <w:lang w:val="en-GB" w:eastAsia="de-DE"/>
        </w:rPr>
      </w:pPr>
    </w:p>
    <w:p w14:paraId="54962519" w14:textId="77777777" w:rsidR="00861202" w:rsidRDefault="0033148A" w:rsidP="00861202">
      <w:pPr>
        <w:keepNext/>
        <w:jc w:val="center"/>
      </w:pPr>
      <w:r>
        <w:rPr>
          <w:noProof/>
          <w:color w:val="FF0000"/>
        </w:rPr>
        <w:drawing>
          <wp:inline distT="0" distB="0" distL="0" distR="0" wp14:anchorId="4907AE49" wp14:editId="26CB85F2">
            <wp:extent cx="2879725" cy="1444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t="34796"/>
                    <a:stretch>
                      <a:fillRect/>
                    </a:stretch>
                  </pic:blipFill>
                  <pic:spPr bwMode="auto">
                    <a:xfrm>
                      <a:off x="0" y="0"/>
                      <a:ext cx="2879725" cy="1444625"/>
                    </a:xfrm>
                    <a:prstGeom prst="rect">
                      <a:avLst/>
                    </a:prstGeom>
                    <a:noFill/>
                    <a:ln>
                      <a:noFill/>
                    </a:ln>
                  </pic:spPr>
                </pic:pic>
              </a:graphicData>
            </a:graphic>
          </wp:inline>
        </w:drawing>
      </w:r>
    </w:p>
    <w:p w14:paraId="359685A3" w14:textId="77777777" w:rsidR="00B313D5" w:rsidRDefault="00B313D5" w:rsidP="00496757">
      <w:pPr>
        <w:pStyle w:val="Caption"/>
        <w:spacing w:after="0"/>
      </w:pPr>
    </w:p>
    <w:p w14:paraId="0F3B0F1B" w14:textId="19573C5D" w:rsidR="00EC6119" w:rsidRDefault="00861202" w:rsidP="00496757">
      <w:pPr>
        <w:pStyle w:val="Caption"/>
        <w:spacing w:after="0"/>
        <w:rPr>
          <w:bCs/>
          <w:sz w:val="20"/>
          <w:lang w:val="en-GB" w:eastAsia="de-DE"/>
        </w:rPr>
      </w:pPr>
      <w:r>
        <w:t xml:space="preserve">Figure </w:t>
      </w:r>
      <w:r>
        <w:fldChar w:fldCharType="begin"/>
      </w:r>
      <w:r>
        <w:instrText xml:space="preserve"> SEQ Figure \* ARABIC </w:instrText>
      </w:r>
      <w:r>
        <w:fldChar w:fldCharType="separate"/>
      </w:r>
      <w:r w:rsidR="00A13C26">
        <w:rPr>
          <w:noProof/>
        </w:rPr>
        <w:t>4</w:t>
      </w:r>
      <w:r>
        <w:fldChar w:fldCharType="end"/>
      </w:r>
      <w:r>
        <w:t xml:space="preserve">: </w:t>
      </w:r>
      <w:r w:rsidRPr="00073AF6">
        <w:t xml:space="preserve">Sample of Students submission from Lecturer </w:t>
      </w:r>
      <w:r>
        <w:t>point-of-view</w:t>
      </w:r>
    </w:p>
    <w:p w14:paraId="2A2625CA" w14:textId="14848CDA" w:rsidR="0033148A" w:rsidRDefault="0033148A" w:rsidP="00EC6119">
      <w:pPr>
        <w:jc w:val="center"/>
        <w:rPr>
          <w:bCs/>
          <w:sz w:val="20"/>
          <w:lang w:val="en-GB" w:eastAsia="de-DE"/>
        </w:rPr>
      </w:pPr>
    </w:p>
    <w:p w14:paraId="0F2EC073" w14:textId="77777777" w:rsidR="00B313D5" w:rsidRDefault="0033148A" w:rsidP="00B313D5">
      <w:pPr>
        <w:keepNext/>
        <w:jc w:val="center"/>
      </w:pPr>
      <w:r>
        <w:rPr>
          <w:noProof/>
          <w:color w:val="000000"/>
        </w:rPr>
        <w:drawing>
          <wp:inline distT="0" distB="0" distL="0" distR="0" wp14:anchorId="258A418D" wp14:editId="5F79003A">
            <wp:extent cx="2879725" cy="12896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9725" cy="1289685"/>
                    </a:xfrm>
                    <a:prstGeom prst="rect">
                      <a:avLst/>
                    </a:prstGeom>
                    <a:noFill/>
                    <a:ln>
                      <a:noFill/>
                    </a:ln>
                  </pic:spPr>
                </pic:pic>
              </a:graphicData>
            </a:graphic>
          </wp:inline>
        </w:drawing>
      </w:r>
    </w:p>
    <w:p w14:paraId="7C6634CA" w14:textId="77777777" w:rsidR="00B313D5" w:rsidRDefault="00B313D5" w:rsidP="00496757">
      <w:pPr>
        <w:pStyle w:val="Caption"/>
        <w:spacing w:after="0"/>
      </w:pPr>
    </w:p>
    <w:p w14:paraId="3C1C5233" w14:textId="79D00C2F" w:rsidR="0033148A" w:rsidRDefault="00B313D5" w:rsidP="00496757">
      <w:pPr>
        <w:pStyle w:val="Caption"/>
        <w:spacing w:after="0"/>
        <w:rPr>
          <w:bCs/>
          <w:sz w:val="20"/>
          <w:lang w:val="en-GB" w:eastAsia="de-DE"/>
        </w:rPr>
      </w:pPr>
      <w:r>
        <w:t xml:space="preserve">Figure </w:t>
      </w:r>
      <w:r>
        <w:fldChar w:fldCharType="begin"/>
      </w:r>
      <w:r>
        <w:instrText xml:space="preserve"> SEQ Figure \* ARABIC </w:instrText>
      </w:r>
      <w:r>
        <w:fldChar w:fldCharType="separate"/>
      </w:r>
      <w:r w:rsidR="00A13C26">
        <w:rPr>
          <w:noProof/>
        </w:rPr>
        <w:t>5</w:t>
      </w:r>
      <w:r>
        <w:fldChar w:fldCharType="end"/>
      </w:r>
      <w:r>
        <w:t xml:space="preserve">: </w:t>
      </w:r>
      <w:r w:rsidRPr="00C54AA4">
        <w:t>Example of student's work, from Lecturer POV in MS Teams</w:t>
      </w:r>
    </w:p>
    <w:p w14:paraId="4E9858E5" w14:textId="77777777" w:rsidR="0033148A" w:rsidRDefault="0033148A" w:rsidP="00EC6119">
      <w:pPr>
        <w:jc w:val="center"/>
        <w:rPr>
          <w:bCs/>
          <w:sz w:val="20"/>
          <w:lang w:val="en-GB" w:eastAsia="de-DE"/>
        </w:rPr>
      </w:pPr>
    </w:p>
    <w:p w14:paraId="793AE3CE" w14:textId="4061CE2E" w:rsidR="00EC6119" w:rsidRDefault="0033148A" w:rsidP="0033148A">
      <w:pPr>
        <w:rPr>
          <w:bCs/>
          <w:sz w:val="20"/>
          <w:lang w:val="en-GB" w:eastAsia="de-DE"/>
        </w:rPr>
      </w:pPr>
      <w:r w:rsidRPr="0033148A">
        <w:rPr>
          <w:bCs/>
          <w:sz w:val="20"/>
          <w:lang w:val="en-GB" w:eastAsia="de-DE"/>
        </w:rPr>
        <w:t>Questions in the worksheet should be designed in a way that students were able to</w:t>
      </w:r>
      <w:r w:rsidR="00414A74">
        <w:rPr>
          <w:bCs/>
          <w:sz w:val="20"/>
          <w:lang w:val="en-GB" w:eastAsia="de-DE"/>
        </w:rPr>
        <w:t xml:space="preserve"> recall</w:t>
      </w:r>
      <w:r w:rsidRPr="00247461">
        <w:rPr>
          <w:bCs/>
          <w:i/>
          <w:iCs/>
          <w:sz w:val="20"/>
          <w:lang w:val="en-GB" w:eastAsia="de-DE"/>
        </w:rPr>
        <w:t xml:space="preserve"> (lower order cognitive skill),</w:t>
      </w:r>
      <w:r w:rsidRPr="0033148A">
        <w:rPr>
          <w:bCs/>
          <w:sz w:val="20"/>
          <w:lang w:val="en-GB" w:eastAsia="de-DE"/>
        </w:rPr>
        <w:t xml:space="preserve"> </w:t>
      </w:r>
      <w:r w:rsidR="00247461" w:rsidRPr="0033148A">
        <w:rPr>
          <w:bCs/>
          <w:sz w:val="20"/>
          <w:lang w:val="en-GB" w:eastAsia="de-DE"/>
        </w:rPr>
        <w:t>analyse</w:t>
      </w:r>
      <w:r w:rsidRPr="0033148A">
        <w:rPr>
          <w:bCs/>
          <w:sz w:val="20"/>
          <w:lang w:val="en-GB" w:eastAsia="de-DE"/>
        </w:rPr>
        <w:t xml:space="preserve"> and apply </w:t>
      </w:r>
      <w:r w:rsidRPr="00247461">
        <w:rPr>
          <w:bCs/>
          <w:i/>
          <w:iCs/>
          <w:sz w:val="20"/>
          <w:lang w:val="en-GB" w:eastAsia="de-DE"/>
        </w:rPr>
        <w:t>(higher order cognitive skills)</w:t>
      </w:r>
      <w:r w:rsidRPr="0033148A">
        <w:rPr>
          <w:bCs/>
          <w:sz w:val="20"/>
          <w:lang w:val="en-GB" w:eastAsia="de-DE"/>
        </w:rPr>
        <w:t xml:space="preserve"> about what they had learnt in theory.</w:t>
      </w:r>
    </w:p>
    <w:p w14:paraId="4E59851B" w14:textId="5B544E66" w:rsidR="0033148A" w:rsidRDefault="0033148A" w:rsidP="0033148A">
      <w:pPr>
        <w:rPr>
          <w:bCs/>
          <w:sz w:val="20"/>
          <w:lang w:val="en-GB" w:eastAsia="de-DE"/>
        </w:rPr>
      </w:pPr>
    </w:p>
    <w:p w14:paraId="13372D76" w14:textId="77777777" w:rsidR="003A1AEA" w:rsidRDefault="0033148A" w:rsidP="003A1AEA">
      <w:pPr>
        <w:keepNext/>
        <w:jc w:val="center"/>
      </w:pPr>
      <w:r>
        <w:rPr>
          <w:noProof/>
          <w:lang w:val="en-SG" w:eastAsia="en-SG"/>
        </w:rPr>
        <w:drawing>
          <wp:inline distT="0" distB="0" distL="0" distR="0" wp14:anchorId="4857228D" wp14:editId="7EE3B586">
            <wp:extent cx="2879725" cy="17041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8947"/>
                    <a:stretch/>
                  </pic:blipFill>
                  <pic:spPr bwMode="auto">
                    <a:xfrm>
                      <a:off x="0" y="0"/>
                      <a:ext cx="2879725" cy="1704133"/>
                    </a:xfrm>
                    <a:prstGeom prst="rect">
                      <a:avLst/>
                    </a:prstGeom>
                    <a:noFill/>
                    <a:ln>
                      <a:noFill/>
                    </a:ln>
                    <a:extLst>
                      <a:ext uri="{53640926-AAD7-44D8-BBD7-CCE9431645EC}">
                        <a14:shadowObscured xmlns:a14="http://schemas.microsoft.com/office/drawing/2010/main"/>
                      </a:ext>
                    </a:extLst>
                  </pic:spPr>
                </pic:pic>
              </a:graphicData>
            </a:graphic>
          </wp:inline>
        </w:drawing>
      </w:r>
    </w:p>
    <w:p w14:paraId="20C45D40" w14:textId="77777777" w:rsidR="003A1AEA" w:rsidRDefault="003A1AEA" w:rsidP="00496757">
      <w:pPr>
        <w:pStyle w:val="Caption"/>
        <w:spacing w:after="0"/>
      </w:pPr>
    </w:p>
    <w:p w14:paraId="450EC555" w14:textId="5D04E74A" w:rsidR="0033148A" w:rsidRDefault="003A1AEA" w:rsidP="00496757">
      <w:pPr>
        <w:pStyle w:val="Caption"/>
        <w:spacing w:after="0"/>
        <w:rPr>
          <w:bCs/>
          <w:sz w:val="20"/>
          <w:lang w:val="en-GB" w:eastAsia="de-DE"/>
        </w:rPr>
      </w:pPr>
      <w:r>
        <w:t xml:space="preserve">Figure </w:t>
      </w:r>
      <w:r>
        <w:fldChar w:fldCharType="begin"/>
      </w:r>
      <w:r>
        <w:instrText xml:space="preserve"> SEQ Figure \* ARABIC </w:instrText>
      </w:r>
      <w:r>
        <w:fldChar w:fldCharType="separate"/>
      </w:r>
      <w:r w:rsidR="00A13C26">
        <w:rPr>
          <w:noProof/>
        </w:rPr>
        <w:t>6</w:t>
      </w:r>
      <w:r>
        <w:fldChar w:fldCharType="end"/>
      </w:r>
      <w:r>
        <w:t xml:space="preserve">: </w:t>
      </w:r>
      <w:r w:rsidRPr="001377C7">
        <w:t>Example of Higher Order Thinking Skills question</w:t>
      </w:r>
    </w:p>
    <w:p w14:paraId="5F52143F" w14:textId="6ADF928B" w:rsidR="0033148A" w:rsidRDefault="0033148A" w:rsidP="0033148A">
      <w:pPr>
        <w:jc w:val="center"/>
        <w:rPr>
          <w:bCs/>
          <w:sz w:val="20"/>
          <w:lang w:val="en-GB" w:eastAsia="de-DE"/>
        </w:rPr>
      </w:pPr>
    </w:p>
    <w:p w14:paraId="63DC97CC" w14:textId="77777777" w:rsidR="0033148A" w:rsidRPr="003A1AEA" w:rsidRDefault="0033148A" w:rsidP="0033148A">
      <w:pPr>
        <w:rPr>
          <w:bCs/>
          <w:i/>
          <w:iCs/>
          <w:sz w:val="20"/>
          <w:lang w:val="en-GB" w:eastAsia="de-DE"/>
        </w:rPr>
      </w:pPr>
      <w:r w:rsidRPr="003A1AEA">
        <w:rPr>
          <w:bCs/>
          <w:i/>
          <w:iCs/>
          <w:sz w:val="20"/>
          <w:lang w:val="en-GB" w:eastAsia="de-DE"/>
        </w:rPr>
        <w:t>In-class activity</w:t>
      </w:r>
    </w:p>
    <w:p w14:paraId="20B84680" w14:textId="77777777" w:rsidR="0033148A" w:rsidRPr="0033148A" w:rsidRDefault="0033148A" w:rsidP="0033148A">
      <w:pPr>
        <w:rPr>
          <w:bCs/>
          <w:sz w:val="20"/>
          <w:lang w:val="en-GB" w:eastAsia="de-DE"/>
        </w:rPr>
      </w:pPr>
    </w:p>
    <w:p w14:paraId="58756AB9" w14:textId="4FC32018" w:rsidR="0033148A" w:rsidRPr="0033148A" w:rsidRDefault="0033148A" w:rsidP="00BC07D4">
      <w:pPr>
        <w:ind w:firstLine="284"/>
        <w:jc w:val="both"/>
        <w:rPr>
          <w:bCs/>
          <w:sz w:val="20"/>
          <w:lang w:val="en-GB" w:eastAsia="de-DE"/>
        </w:rPr>
      </w:pPr>
      <w:r w:rsidRPr="0033148A">
        <w:rPr>
          <w:bCs/>
          <w:sz w:val="20"/>
          <w:lang w:val="en-GB" w:eastAsia="de-DE"/>
        </w:rPr>
        <w:t xml:space="preserve">The collaborative element was introduced to involve the student-to-student learning and teacher-to-student sharing. </w:t>
      </w:r>
      <w:r w:rsidR="00B842B8" w:rsidRPr="00B842B8">
        <w:rPr>
          <w:bCs/>
          <w:sz w:val="20"/>
          <w:lang w:val="en-GB" w:eastAsia="de-DE"/>
        </w:rPr>
        <w:t xml:space="preserve">Students were the </w:t>
      </w:r>
      <w:r w:rsidR="00321D68">
        <w:rPr>
          <w:bCs/>
          <w:sz w:val="20"/>
          <w:lang w:val="en-GB" w:eastAsia="de-DE"/>
        </w:rPr>
        <w:t>focus</w:t>
      </w:r>
      <w:r w:rsidR="00B842B8" w:rsidRPr="00B842B8">
        <w:rPr>
          <w:bCs/>
          <w:sz w:val="20"/>
          <w:lang w:val="en-GB" w:eastAsia="de-DE"/>
        </w:rPr>
        <w:t xml:space="preserve"> of the class, leading the teaching session by describing the "what" and "how" </w:t>
      </w:r>
      <w:r w:rsidR="00FF2F84">
        <w:rPr>
          <w:bCs/>
          <w:sz w:val="20"/>
          <w:lang w:val="en-GB" w:eastAsia="de-DE"/>
        </w:rPr>
        <w:t xml:space="preserve">to </w:t>
      </w:r>
      <w:r w:rsidR="00B842B8" w:rsidRPr="00B842B8">
        <w:rPr>
          <w:bCs/>
          <w:sz w:val="20"/>
          <w:lang w:val="en-GB" w:eastAsia="de-DE"/>
        </w:rPr>
        <w:t xml:space="preserve">the posed question. </w:t>
      </w:r>
      <w:r w:rsidR="00321D68" w:rsidRPr="00321D68">
        <w:rPr>
          <w:bCs/>
          <w:sz w:val="20"/>
          <w:lang w:val="en-GB" w:eastAsia="de-DE"/>
        </w:rPr>
        <w:t xml:space="preserve">In this design, the lecturer played more of a facilitator role, supplementing the presenter's missing points and directing the presenter to the </w:t>
      </w:r>
      <w:r w:rsidR="00321D68">
        <w:rPr>
          <w:bCs/>
          <w:sz w:val="20"/>
          <w:lang w:val="en-GB" w:eastAsia="de-DE"/>
        </w:rPr>
        <w:t xml:space="preserve">appropriate </w:t>
      </w:r>
      <w:r w:rsidR="00615D25">
        <w:rPr>
          <w:bCs/>
          <w:sz w:val="20"/>
          <w:lang w:val="en-GB" w:eastAsia="de-DE"/>
        </w:rPr>
        <w:t>solution</w:t>
      </w:r>
      <w:r w:rsidR="00321D68">
        <w:rPr>
          <w:bCs/>
          <w:sz w:val="20"/>
          <w:lang w:val="en-GB" w:eastAsia="de-DE"/>
        </w:rPr>
        <w:t xml:space="preserve"> </w:t>
      </w:r>
      <w:r w:rsidR="00321D68" w:rsidRPr="00321D68">
        <w:rPr>
          <w:bCs/>
          <w:sz w:val="20"/>
          <w:lang w:val="en-GB" w:eastAsia="de-DE"/>
        </w:rPr>
        <w:t>through a series of scaffold questions if the solution offered was incorrect.</w:t>
      </w:r>
    </w:p>
    <w:p w14:paraId="2B8C2D53" w14:textId="77777777" w:rsidR="0033148A" w:rsidRPr="0033148A" w:rsidRDefault="0033148A" w:rsidP="00BC07D4">
      <w:pPr>
        <w:rPr>
          <w:bCs/>
          <w:sz w:val="20"/>
          <w:lang w:val="en-GB" w:eastAsia="de-DE"/>
        </w:rPr>
      </w:pPr>
    </w:p>
    <w:p w14:paraId="35D48688" w14:textId="45E35BAD" w:rsidR="0033148A" w:rsidRDefault="00F05C38" w:rsidP="00BC07D4">
      <w:pPr>
        <w:ind w:firstLine="284"/>
        <w:jc w:val="both"/>
        <w:rPr>
          <w:bCs/>
          <w:sz w:val="20"/>
          <w:lang w:val="en-GB" w:eastAsia="de-DE"/>
        </w:rPr>
      </w:pPr>
      <w:r w:rsidRPr="00F05C38">
        <w:rPr>
          <w:bCs/>
          <w:sz w:val="20"/>
          <w:lang w:val="en-GB" w:eastAsia="de-DE"/>
        </w:rPr>
        <w:t xml:space="preserve">Students were often chosen at random by Wheel of Fortune to play the "lecturer" </w:t>
      </w:r>
      <w:r>
        <w:rPr>
          <w:bCs/>
          <w:sz w:val="20"/>
          <w:lang w:val="en-GB" w:eastAsia="de-DE"/>
        </w:rPr>
        <w:t>role</w:t>
      </w:r>
      <w:r w:rsidRPr="00F05C38">
        <w:rPr>
          <w:bCs/>
          <w:sz w:val="20"/>
          <w:lang w:val="en-GB" w:eastAsia="de-DE"/>
        </w:rPr>
        <w:t xml:space="preserve">, in which he or she would share lead the class discussion, regardless of the accuracy of </w:t>
      </w:r>
      <w:r w:rsidR="00215873">
        <w:rPr>
          <w:bCs/>
          <w:sz w:val="20"/>
          <w:lang w:val="en-GB" w:eastAsia="de-DE"/>
        </w:rPr>
        <w:t>his or her</w:t>
      </w:r>
      <w:r w:rsidRPr="00F05C38">
        <w:rPr>
          <w:bCs/>
          <w:sz w:val="20"/>
          <w:lang w:val="en-GB" w:eastAsia="de-DE"/>
        </w:rPr>
        <w:t xml:space="preserve"> solutions. Nonetheless, students were strongly encouraged to volunteer to share their solutions with their peers so that they may learn from one another. </w:t>
      </w:r>
      <w:r w:rsidR="0033148A" w:rsidRPr="0033148A">
        <w:rPr>
          <w:bCs/>
          <w:sz w:val="20"/>
          <w:lang w:val="en-GB" w:eastAsia="de-DE"/>
        </w:rPr>
        <w:t>Quoting from Bergmann</w:t>
      </w:r>
      <w:r w:rsidR="00277593">
        <w:rPr>
          <w:bCs/>
          <w:sz w:val="20"/>
          <w:lang w:val="en-GB" w:eastAsia="de-DE"/>
        </w:rPr>
        <w:t xml:space="preserve"> </w:t>
      </w:r>
      <w:r w:rsidR="0033148A" w:rsidRPr="00277593">
        <w:rPr>
          <w:bCs/>
          <w:i/>
          <w:iCs/>
          <w:sz w:val="20"/>
          <w:lang w:val="en-GB" w:eastAsia="de-DE"/>
        </w:rPr>
        <w:t xml:space="preserve">“…But when learning is in the hands of the </w:t>
      </w:r>
      <w:r w:rsidR="0033148A" w:rsidRPr="00B16731">
        <w:rPr>
          <w:bCs/>
          <w:i/>
          <w:iCs/>
          <w:sz w:val="20"/>
          <w:lang w:val="en-GB" w:eastAsia="de-DE"/>
        </w:rPr>
        <w:t>students and not in the hands of the teacher, real learning occurs.”</w:t>
      </w:r>
      <w:r w:rsidR="0033148A" w:rsidRPr="00B16731">
        <w:rPr>
          <w:bCs/>
          <w:sz w:val="20"/>
          <w:lang w:val="en-GB" w:eastAsia="de-DE"/>
        </w:rPr>
        <w:t xml:space="preserve"> (Bergmann and Sams, 2012, pg. 111). </w:t>
      </w:r>
      <w:r w:rsidRPr="00B16731">
        <w:rPr>
          <w:bCs/>
          <w:sz w:val="20"/>
          <w:lang w:val="en-GB" w:eastAsia="de-DE"/>
        </w:rPr>
        <w:t xml:space="preserve">Following the sharing, the selected presenter will be given some time to address any questions raised by classmates. </w:t>
      </w:r>
      <w:r w:rsidR="001D4B8B" w:rsidRPr="00B16731">
        <w:rPr>
          <w:bCs/>
          <w:sz w:val="20"/>
          <w:lang w:val="en-GB" w:eastAsia="de-DE"/>
        </w:rPr>
        <w:t>It is worth noting that the lecturer has the option of role-playing as a</w:t>
      </w:r>
      <w:r w:rsidR="001D4B8B" w:rsidRPr="001D4B8B">
        <w:rPr>
          <w:bCs/>
          <w:sz w:val="20"/>
          <w:lang w:val="en-GB" w:eastAsia="de-DE"/>
        </w:rPr>
        <w:t xml:space="preserve"> student during the classroom activities setup and posting some questions that the </w:t>
      </w:r>
      <w:r w:rsidR="00DA7454">
        <w:rPr>
          <w:bCs/>
          <w:sz w:val="20"/>
          <w:lang w:val="en-GB" w:eastAsia="de-DE"/>
        </w:rPr>
        <w:t>lecturer</w:t>
      </w:r>
      <w:r w:rsidR="001D4B8B" w:rsidRPr="001D4B8B">
        <w:rPr>
          <w:bCs/>
          <w:sz w:val="20"/>
          <w:lang w:val="en-GB" w:eastAsia="de-DE"/>
        </w:rPr>
        <w:t xml:space="preserve"> believes necessary or capable of improving the student's understanding</w:t>
      </w:r>
      <w:r w:rsidR="006A16C2">
        <w:rPr>
          <w:bCs/>
          <w:sz w:val="20"/>
          <w:lang w:val="en-GB" w:eastAsia="de-DE"/>
        </w:rPr>
        <w:t xml:space="preserve">. </w:t>
      </w:r>
      <w:r w:rsidR="006A16C2" w:rsidRPr="006A16C2">
        <w:rPr>
          <w:bCs/>
          <w:sz w:val="20"/>
          <w:lang w:val="en-GB" w:eastAsia="de-DE"/>
        </w:rPr>
        <w:t xml:space="preserve">Through this role-swapping activity, the lecturer would be able to provide timely feedback since he/she gained a better </w:t>
      </w:r>
      <w:r w:rsidR="006A16C2">
        <w:rPr>
          <w:bCs/>
          <w:sz w:val="20"/>
          <w:lang w:val="en-GB" w:eastAsia="de-DE"/>
        </w:rPr>
        <w:t>insight</w:t>
      </w:r>
      <w:r w:rsidR="006A16C2" w:rsidRPr="006A16C2">
        <w:rPr>
          <w:bCs/>
          <w:sz w:val="20"/>
          <w:lang w:val="en-GB" w:eastAsia="de-DE"/>
        </w:rPr>
        <w:t xml:space="preserve"> of the degree of understanding among students, </w:t>
      </w:r>
      <w:r w:rsidR="00B16731">
        <w:rPr>
          <w:bCs/>
          <w:sz w:val="20"/>
          <w:lang w:val="en-GB" w:eastAsia="de-DE"/>
        </w:rPr>
        <w:t xml:space="preserve">thus, </w:t>
      </w:r>
      <w:r w:rsidR="006A16C2" w:rsidRPr="006A16C2">
        <w:rPr>
          <w:bCs/>
          <w:sz w:val="20"/>
          <w:lang w:val="en-GB" w:eastAsia="de-DE"/>
        </w:rPr>
        <w:t>directing them to the correct solutions through inquiry-based learning.</w:t>
      </w:r>
    </w:p>
    <w:p w14:paraId="2E77A8B1" w14:textId="77777777" w:rsidR="006A16C2" w:rsidRPr="0033148A" w:rsidRDefault="006A16C2" w:rsidP="006A16C2">
      <w:pPr>
        <w:ind w:firstLine="284"/>
        <w:jc w:val="both"/>
        <w:rPr>
          <w:bCs/>
          <w:sz w:val="20"/>
          <w:lang w:val="en-GB" w:eastAsia="de-DE"/>
        </w:rPr>
      </w:pPr>
    </w:p>
    <w:p w14:paraId="66C80F4D" w14:textId="77777777" w:rsidR="00A94A51" w:rsidRPr="00AC196A" w:rsidRDefault="00A94A51">
      <w:pPr>
        <w:pStyle w:val="PlainText"/>
        <w:jc w:val="both"/>
        <w:outlineLvl w:val="0"/>
        <w:rPr>
          <w:rFonts w:ascii="Times New Roman" w:hAnsi="Times New Roman"/>
          <w:b/>
          <w:lang w:val="en-GB"/>
        </w:rPr>
      </w:pPr>
      <w:r w:rsidRPr="00AC196A">
        <w:rPr>
          <w:rFonts w:ascii="Times New Roman" w:hAnsi="Times New Roman"/>
          <w:b/>
          <w:lang w:val="en-GB"/>
        </w:rPr>
        <w:t>Results and Discussion</w:t>
      </w:r>
    </w:p>
    <w:p w14:paraId="23FFE31A" w14:textId="77777777" w:rsidR="00A94A51" w:rsidRPr="00AC196A" w:rsidRDefault="00A94A51">
      <w:pPr>
        <w:pStyle w:val="PlainText"/>
        <w:jc w:val="both"/>
        <w:rPr>
          <w:rFonts w:ascii="Times New Roman" w:hAnsi="Times New Roman"/>
          <w:b/>
          <w:lang w:val="en-GB"/>
        </w:rPr>
      </w:pPr>
    </w:p>
    <w:p w14:paraId="7A328236" w14:textId="77777777" w:rsidR="00D951FF" w:rsidRPr="00AC196A" w:rsidRDefault="00D951FF" w:rsidP="00D951FF">
      <w:pPr>
        <w:pStyle w:val="PlainText"/>
        <w:jc w:val="both"/>
        <w:rPr>
          <w:rFonts w:ascii="Times New Roman" w:hAnsi="Times New Roman"/>
          <w:i/>
          <w:iCs/>
          <w:lang w:val="en-GB"/>
        </w:rPr>
      </w:pPr>
      <w:r w:rsidRPr="00AC196A">
        <w:rPr>
          <w:rFonts w:ascii="Times New Roman" w:hAnsi="Times New Roman"/>
          <w:i/>
          <w:iCs/>
          <w:lang w:val="en-GB"/>
        </w:rPr>
        <w:t>Quiz results analysis</w:t>
      </w:r>
    </w:p>
    <w:p w14:paraId="7EBA42C1" w14:textId="77777777" w:rsidR="00D951FF" w:rsidRPr="00AC196A" w:rsidRDefault="00D951FF" w:rsidP="00D951FF">
      <w:pPr>
        <w:pStyle w:val="PlainText"/>
        <w:jc w:val="both"/>
        <w:rPr>
          <w:rFonts w:ascii="Times New Roman" w:hAnsi="Times New Roman"/>
          <w:lang w:val="en-GB"/>
        </w:rPr>
      </w:pPr>
    </w:p>
    <w:p w14:paraId="74F1708C" w14:textId="3102DB9E" w:rsidR="00D951FF" w:rsidRDefault="00D951FF" w:rsidP="001A3025">
      <w:pPr>
        <w:pStyle w:val="PlainText"/>
        <w:ind w:firstLine="284"/>
        <w:jc w:val="both"/>
        <w:rPr>
          <w:rFonts w:ascii="Times New Roman" w:hAnsi="Times New Roman"/>
          <w:lang w:val="en-GB"/>
        </w:rPr>
      </w:pPr>
      <w:r w:rsidRPr="00AC196A">
        <w:rPr>
          <w:rFonts w:ascii="Times New Roman" w:hAnsi="Times New Roman"/>
          <w:lang w:val="en-GB"/>
        </w:rPr>
        <w:t xml:space="preserve">A total of 208 entries </w:t>
      </w:r>
      <w:r w:rsidRPr="00735825">
        <w:rPr>
          <w:rFonts w:ascii="Times New Roman" w:hAnsi="Times New Roman"/>
          <w:i/>
          <w:iCs/>
          <w:lang w:val="en-GB"/>
        </w:rPr>
        <w:t>(N=208)</w:t>
      </w:r>
      <w:r w:rsidRPr="00AC196A">
        <w:rPr>
          <w:rFonts w:ascii="Times New Roman" w:hAnsi="Times New Roman"/>
          <w:lang w:val="en-GB"/>
        </w:rPr>
        <w:t xml:space="preserve"> were recorded, where two main groups consisted of control group </w:t>
      </w:r>
      <w:r w:rsidRPr="00735825">
        <w:rPr>
          <w:rFonts w:ascii="Times New Roman" w:hAnsi="Times New Roman"/>
          <w:i/>
          <w:iCs/>
          <w:lang w:val="en-GB"/>
        </w:rPr>
        <w:t>(n=103)</w:t>
      </w:r>
      <w:r w:rsidRPr="00AC196A">
        <w:rPr>
          <w:rFonts w:ascii="Times New Roman" w:hAnsi="Times New Roman"/>
          <w:lang w:val="en-GB"/>
        </w:rPr>
        <w:t xml:space="preserve"> and experimental group </w:t>
      </w:r>
      <w:r w:rsidRPr="00735825">
        <w:rPr>
          <w:rFonts w:ascii="Times New Roman" w:hAnsi="Times New Roman"/>
          <w:i/>
          <w:iCs/>
          <w:lang w:val="en-GB"/>
        </w:rPr>
        <w:t>(n=105).</w:t>
      </w:r>
      <w:r w:rsidRPr="00AC196A">
        <w:rPr>
          <w:rFonts w:ascii="Times New Roman" w:hAnsi="Times New Roman"/>
          <w:lang w:val="en-GB"/>
        </w:rPr>
        <w:t xml:space="preserve"> To access the effectiveness of new approach, only the quizzes scores were used for the analysis in this study. Surveys feedback and questionnaires scores were being recorded after the completion of learning of a major skill. </w:t>
      </w:r>
      <w:r w:rsidR="001A3025" w:rsidRPr="001A3025">
        <w:rPr>
          <w:rFonts w:ascii="Times New Roman" w:hAnsi="Times New Roman"/>
          <w:lang w:val="en-GB"/>
        </w:rPr>
        <w:t xml:space="preserve">The primary objective of included surveys was to </w:t>
      </w:r>
      <w:r w:rsidR="00BE05CE">
        <w:rPr>
          <w:rFonts w:ascii="Times New Roman" w:hAnsi="Times New Roman"/>
          <w:lang w:val="en-GB"/>
        </w:rPr>
        <w:t>observe</w:t>
      </w:r>
      <w:r w:rsidR="001A3025" w:rsidRPr="001A3025">
        <w:rPr>
          <w:rFonts w:ascii="Times New Roman" w:hAnsi="Times New Roman"/>
          <w:lang w:val="en-GB"/>
        </w:rPr>
        <w:t xml:space="preserve"> and reflect on how students coped with their studies with active-</w:t>
      </w:r>
      <w:r w:rsidR="001A3025" w:rsidRPr="001A3025">
        <w:rPr>
          <w:rFonts w:ascii="Times New Roman" w:hAnsi="Times New Roman"/>
          <w:lang w:val="en-GB"/>
        </w:rPr>
        <w:lastRenderedPageBreak/>
        <w:t>collaborative learning (ACL) in class together with the quiz results.</w:t>
      </w:r>
    </w:p>
    <w:p w14:paraId="33BA2134" w14:textId="77777777" w:rsidR="001A3025" w:rsidRPr="00AC196A" w:rsidRDefault="001A3025" w:rsidP="001A3025">
      <w:pPr>
        <w:pStyle w:val="PlainText"/>
        <w:ind w:firstLine="284"/>
        <w:jc w:val="both"/>
        <w:rPr>
          <w:rFonts w:ascii="Times New Roman" w:hAnsi="Times New Roman"/>
          <w:lang w:val="en-GB"/>
        </w:rPr>
      </w:pPr>
    </w:p>
    <w:p w14:paraId="6D779F98" w14:textId="77777777" w:rsidR="00D951FF" w:rsidRPr="00AC196A" w:rsidRDefault="00D951FF" w:rsidP="00BC07D4">
      <w:pPr>
        <w:pStyle w:val="PlainText"/>
        <w:ind w:firstLine="284"/>
        <w:jc w:val="both"/>
        <w:rPr>
          <w:rFonts w:ascii="Times New Roman" w:hAnsi="Times New Roman"/>
          <w:lang w:val="en-GB"/>
        </w:rPr>
      </w:pPr>
      <w:r w:rsidRPr="00AC196A">
        <w:rPr>
          <w:rFonts w:ascii="Times New Roman" w:hAnsi="Times New Roman"/>
          <w:lang w:val="en-GB"/>
        </w:rPr>
        <w:t xml:space="preserve">Hypothesis of this research was defined as: </w:t>
      </w:r>
      <w:r w:rsidRPr="004846A6">
        <w:rPr>
          <w:rFonts w:ascii="Times New Roman" w:hAnsi="Times New Roman"/>
          <w:i/>
          <w:iCs/>
          <w:lang w:val="en-GB"/>
        </w:rPr>
        <w:t>ACL is able to improve student’s assessment score for pragmatic-based module.</w:t>
      </w:r>
    </w:p>
    <w:p w14:paraId="21328A6C" w14:textId="77777777" w:rsidR="00D951FF" w:rsidRPr="00AC196A" w:rsidRDefault="00D951FF" w:rsidP="00D951FF">
      <w:pPr>
        <w:pStyle w:val="PlainText"/>
        <w:jc w:val="both"/>
        <w:rPr>
          <w:rFonts w:ascii="Times New Roman" w:hAnsi="Times New Roman"/>
          <w:lang w:val="en-GB"/>
        </w:rPr>
      </w:pPr>
    </w:p>
    <w:p w14:paraId="75979C41" w14:textId="2AF522FC" w:rsidR="00E11BC7" w:rsidRPr="00AC196A" w:rsidRDefault="00D951FF" w:rsidP="00BC07D4">
      <w:pPr>
        <w:pStyle w:val="PlainText"/>
        <w:ind w:firstLine="284"/>
        <w:jc w:val="both"/>
        <w:rPr>
          <w:rFonts w:ascii="Times New Roman" w:hAnsi="Times New Roman"/>
          <w:lang w:val="en-GB"/>
        </w:rPr>
      </w:pPr>
      <w:r w:rsidRPr="00AC196A">
        <w:rPr>
          <w:rFonts w:ascii="Times New Roman" w:hAnsi="Times New Roman"/>
          <w:lang w:val="en-GB"/>
        </w:rPr>
        <w:t xml:space="preserve">Homogeneity of variances was deployed to check the dependent variables before analysis. Confirming with F=1.38 </w:t>
      </w:r>
      <w:r w:rsidRPr="00D0120B">
        <w:rPr>
          <w:rFonts w:ascii="Times New Roman" w:hAnsi="Times New Roman"/>
          <w:i/>
          <w:iCs/>
          <w:lang w:val="en-GB"/>
        </w:rPr>
        <w:t>(p=0.05),</w:t>
      </w:r>
      <w:r w:rsidRPr="00AC196A">
        <w:rPr>
          <w:rFonts w:ascii="Times New Roman" w:hAnsi="Times New Roman"/>
          <w:lang w:val="en-GB"/>
        </w:rPr>
        <w:t xml:space="preserve"> the null hypothesis stands, meaning that the variances between two samples of students are the same.</w:t>
      </w:r>
    </w:p>
    <w:p w14:paraId="54524EEA" w14:textId="6BD1A6D8" w:rsidR="00C41CB9" w:rsidRDefault="00C41CB9">
      <w:pPr>
        <w:pStyle w:val="PlainText"/>
        <w:jc w:val="both"/>
        <w:rPr>
          <w:rFonts w:ascii="Times New Roman" w:hAnsi="Times New Roman"/>
          <w:lang w:val="en-GB"/>
        </w:rPr>
      </w:pPr>
    </w:p>
    <w:p w14:paraId="599487B3" w14:textId="77777777" w:rsidR="00BE1C44" w:rsidRDefault="00AA16F0" w:rsidP="00BE1C44">
      <w:pPr>
        <w:pStyle w:val="PlainText"/>
        <w:keepNext/>
        <w:jc w:val="center"/>
      </w:pPr>
      <w:r>
        <w:rPr>
          <w:noProof/>
          <w:lang w:val="en-SG" w:eastAsia="en-SG"/>
        </w:rPr>
        <w:drawing>
          <wp:inline distT="0" distB="0" distL="0" distR="0" wp14:anchorId="35F14745" wp14:editId="078B4A47">
            <wp:extent cx="2879725" cy="1512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9725" cy="1512570"/>
                    </a:xfrm>
                    <a:prstGeom prst="rect">
                      <a:avLst/>
                    </a:prstGeom>
                    <a:noFill/>
                    <a:ln>
                      <a:noFill/>
                    </a:ln>
                  </pic:spPr>
                </pic:pic>
              </a:graphicData>
            </a:graphic>
          </wp:inline>
        </w:drawing>
      </w:r>
    </w:p>
    <w:p w14:paraId="11715C51" w14:textId="77777777" w:rsidR="00BE1C44" w:rsidRDefault="00BE1C44" w:rsidP="00411766">
      <w:pPr>
        <w:pStyle w:val="Caption"/>
        <w:spacing w:after="0"/>
        <w:jc w:val="center"/>
      </w:pPr>
    </w:p>
    <w:p w14:paraId="74AA5706" w14:textId="72CE2682" w:rsidR="00C41CB9" w:rsidRDefault="00BE1C44" w:rsidP="00411766">
      <w:pPr>
        <w:pStyle w:val="Caption"/>
        <w:spacing w:after="0"/>
        <w:jc w:val="center"/>
      </w:pPr>
      <w:r>
        <w:t xml:space="preserve">Figure </w:t>
      </w:r>
      <w:r>
        <w:fldChar w:fldCharType="begin"/>
      </w:r>
      <w:r>
        <w:instrText xml:space="preserve"> SEQ Figure \* ARABIC </w:instrText>
      </w:r>
      <w:r>
        <w:fldChar w:fldCharType="separate"/>
      </w:r>
      <w:r w:rsidR="00A13C26">
        <w:rPr>
          <w:noProof/>
        </w:rPr>
        <w:t>7</w:t>
      </w:r>
      <w:r>
        <w:fldChar w:fldCharType="end"/>
      </w:r>
      <w:r>
        <w:t xml:space="preserve">: </w:t>
      </w:r>
      <w:r w:rsidRPr="00AC27BB">
        <w:t>KDE Plot for the ACL group and non-ACL group</w:t>
      </w:r>
    </w:p>
    <w:p w14:paraId="4A232AFD" w14:textId="77777777" w:rsidR="00411766" w:rsidRPr="00411766" w:rsidRDefault="00411766" w:rsidP="00411766"/>
    <w:p w14:paraId="3C56AD9D" w14:textId="02612DF6" w:rsidR="00AA16F0" w:rsidRPr="003E0719" w:rsidRDefault="00AA16F0" w:rsidP="00AC0049">
      <w:pPr>
        <w:pStyle w:val="PlainText"/>
        <w:ind w:firstLine="284"/>
        <w:jc w:val="both"/>
        <w:rPr>
          <w:rFonts w:ascii="Times New Roman" w:hAnsi="Times New Roman"/>
          <w:lang w:val="en-GB"/>
        </w:rPr>
      </w:pPr>
      <w:r w:rsidRPr="00AA16F0">
        <w:rPr>
          <w:rFonts w:ascii="Times New Roman" w:hAnsi="Times New Roman"/>
          <w:lang w:val="en-GB"/>
        </w:rPr>
        <w:t>Kernel Density Estimation (KDE) graph with a bandwidth, h=2% was</w:t>
      </w:r>
      <w:r w:rsidR="002F09AE">
        <w:rPr>
          <w:rFonts w:ascii="Times New Roman" w:hAnsi="Times New Roman"/>
          <w:lang w:val="en-GB"/>
        </w:rPr>
        <w:t xml:space="preserve"> </w:t>
      </w:r>
      <w:r w:rsidRPr="00AA16F0">
        <w:rPr>
          <w:rFonts w:ascii="Times New Roman" w:hAnsi="Times New Roman"/>
          <w:lang w:val="en-GB"/>
        </w:rPr>
        <w:t xml:space="preserve">plotted. It showed that the ACL group achieved a higher mean </w:t>
      </w:r>
      <w:r w:rsidRPr="008E5E09">
        <w:rPr>
          <w:rFonts w:ascii="Times New Roman" w:hAnsi="Times New Roman"/>
          <w:i/>
          <w:iCs/>
          <w:lang w:val="en-GB"/>
        </w:rPr>
        <w:t>(72.0)</w:t>
      </w:r>
      <w:r w:rsidRPr="00AA16F0">
        <w:rPr>
          <w:rFonts w:ascii="Times New Roman" w:hAnsi="Times New Roman"/>
          <w:lang w:val="en-GB"/>
        </w:rPr>
        <w:t xml:space="preserve"> compared to the non-ACL group </w:t>
      </w:r>
      <w:r w:rsidRPr="008E5E09">
        <w:rPr>
          <w:rFonts w:ascii="Times New Roman" w:hAnsi="Times New Roman"/>
          <w:i/>
          <w:iCs/>
          <w:lang w:val="en-GB"/>
        </w:rPr>
        <w:t>(69.0)</w:t>
      </w:r>
      <w:r w:rsidRPr="00AA16F0">
        <w:rPr>
          <w:rFonts w:ascii="Times New Roman" w:hAnsi="Times New Roman"/>
          <w:lang w:val="en-GB"/>
        </w:rPr>
        <w:t xml:space="preserve">. Independent sample t-Test </w:t>
      </w:r>
      <w:r w:rsidRPr="008E5E09">
        <w:rPr>
          <w:rFonts w:ascii="Times New Roman" w:hAnsi="Times New Roman"/>
          <w:i/>
          <w:iCs/>
          <w:lang w:val="en-GB"/>
        </w:rPr>
        <w:t xml:space="preserve">(95% confidence interval) </w:t>
      </w:r>
      <w:r w:rsidRPr="00AA16F0">
        <w:rPr>
          <w:rFonts w:ascii="Times New Roman" w:hAnsi="Times New Roman"/>
          <w:lang w:val="en-GB"/>
        </w:rPr>
        <w:t>was carried out to further justify the results.</w:t>
      </w:r>
    </w:p>
    <w:p w14:paraId="45D97039" w14:textId="1E3E44C3" w:rsidR="00C41CB9" w:rsidRDefault="00C41CB9">
      <w:pPr>
        <w:pStyle w:val="PlainText"/>
        <w:jc w:val="both"/>
        <w:rPr>
          <w:rFonts w:ascii="Times New Roman" w:hAnsi="Times New Roman"/>
          <w:lang w:val="en-GB"/>
        </w:rPr>
      </w:pPr>
    </w:p>
    <w:p w14:paraId="65EB4F12" w14:textId="3A60D47F" w:rsidR="00EB505A" w:rsidRDefault="00EB505A" w:rsidP="00EB505A">
      <w:pPr>
        <w:pStyle w:val="Caption"/>
        <w:keepNext/>
      </w:pPr>
      <w:r>
        <w:t xml:space="preserve">Table </w:t>
      </w:r>
      <w:r>
        <w:fldChar w:fldCharType="begin"/>
      </w:r>
      <w:r>
        <w:instrText xml:space="preserve"> SEQ Table \* ARABIC </w:instrText>
      </w:r>
      <w:r>
        <w:fldChar w:fldCharType="separate"/>
      </w:r>
      <w:r w:rsidR="006D11E9">
        <w:rPr>
          <w:noProof/>
        </w:rPr>
        <w:t>1</w:t>
      </w:r>
      <w:r>
        <w:fldChar w:fldCharType="end"/>
      </w:r>
      <w:r>
        <w:t xml:space="preserve">: </w:t>
      </w:r>
      <w:r w:rsidRPr="00441F9F">
        <w:t>Independent sample t-Test results between Experimental Group and Control Group</w:t>
      </w:r>
    </w:p>
    <w:tbl>
      <w:tblPr>
        <w:tblW w:w="3980" w:type="dxa"/>
        <w:tblLook w:val="04A0" w:firstRow="1" w:lastRow="0" w:firstColumn="1" w:lastColumn="0" w:noHBand="0" w:noVBand="1"/>
      </w:tblPr>
      <w:tblGrid>
        <w:gridCol w:w="1420"/>
        <w:gridCol w:w="1540"/>
        <w:gridCol w:w="1020"/>
      </w:tblGrid>
      <w:tr w:rsidR="009310A2" w:rsidRPr="00BC07D4" w14:paraId="3188C75E" w14:textId="77777777" w:rsidTr="009310A2">
        <w:trPr>
          <w:trHeight w:val="310"/>
        </w:trPr>
        <w:tc>
          <w:tcPr>
            <w:tcW w:w="14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48B169" w14:textId="77777777" w:rsidR="009310A2" w:rsidRPr="00BC07D4" w:rsidRDefault="009310A2" w:rsidP="009310A2">
            <w:pPr>
              <w:jc w:val="center"/>
              <w:rPr>
                <w:rFonts w:eastAsia="Times New Roman"/>
                <w:i/>
                <w:iCs/>
                <w:color w:val="000000"/>
                <w:sz w:val="20"/>
                <w:szCs w:val="20"/>
                <w:lang w:val="en-SG" w:eastAsia="en-SG"/>
              </w:rPr>
            </w:pPr>
            <w:r w:rsidRPr="00BC07D4">
              <w:rPr>
                <w:rFonts w:eastAsia="Times New Roman"/>
                <w:i/>
                <w:iCs/>
                <w:color w:val="000000"/>
                <w:sz w:val="20"/>
                <w:szCs w:val="20"/>
                <w:lang w:val="en-SG" w:eastAsia="en-SG"/>
              </w:rPr>
              <w:t>Group</w:t>
            </w:r>
          </w:p>
        </w:tc>
        <w:tc>
          <w:tcPr>
            <w:tcW w:w="1540" w:type="dxa"/>
            <w:tcBorders>
              <w:top w:val="single" w:sz="12" w:space="0" w:color="auto"/>
              <w:left w:val="nil"/>
              <w:bottom w:val="single" w:sz="12" w:space="0" w:color="auto"/>
              <w:right w:val="nil"/>
            </w:tcBorders>
            <w:shd w:val="clear" w:color="auto" w:fill="auto"/>
            <w:noWrap/>
            <w:vAlign w:val="center"/>
            <w:hideMark/>
          </w:tcPr>
          <w:p w14:paraId="55CAF45E"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Experimental</w:t>
            </w:r>
          </w:p>
        </w:tc>
        <w:tc>
          <w:tcPr>
            <w:tcW w:w="1020" w:type="dxa"/>
            <w:tcBorders>
              <w:top w:val="single" w:sz="12" w:space="0" w:color="auto"/>
              <w:left w:val="nil"/>
              <w:bottom w:val="single" w:sz="12" w:space="0" w:color="auto"/>
              <w:right w:val="single" w:sz="12" w:space="0" w:color="auto"/>
            </w:tcBorders>
            <w:shd w:val="clear" w:color="auto" w:fill="auto"/>
            <w:noWrap/>
            <w:vAlign w:val="center"/>
            <w:hideMark/>
          </w:tcPr>
          <w:p w14:paraId="660D9137"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Control</w:t>
            </w:r>
          </w:p>
        </w:tc>
      </w:tr>
      <w:tr w:rsidR="009310A2" w:rsidRPr="00BC07D4" w14:paraId="2CCA16B1" w14:textId="77777777" w:rsidTr="009310A2">
        <w:trPr>
          <w:trHeight w:val="300"/>
        </w:trPr>
        <w:tc>
          <w:tcPr>
            <w:tcW w:w="1420" w:type="dxa"/>
            <w:tcBorders>
              <w:top w:val="nil"/>
              <w:left w:val="single" w:sz="12" w:space="0" w:color="auto"/>
              <w:bottom w:val="nil"/>
              <w:right w:val="single" w:sz="12" w:space="0" w:color="auto"/>
            </w:tcBorders>
            <w:shd w:val="clear" w:color="auto" w:fill="auto"/>
            <w:noWrap/>
            <w:vAlign w:val="center"/>
            <w:hideMark/>
          </w:tcPr>
          <w:p w14:paraId="67553990" w14:textId="77777777" w:rsidR="009310A2" w:rsidRPr="00BC07D4" w:rsidRDefault="009310A2" w:rsidP="009310A2">
            <w:pPr>
              <w:jc w:val="center"/>
              <w:rPr>
                <w:rFonts w:eastAsia="Times New Roman"/>
                <w:i/>
                <w:iCs/>
                <w:color w:val="000000"/>
                <w:sz w:val="20"/>
                <w:szCs w:val="20"/>
                <w:lang w:val="en-SG" w:eastAsia="en-SG"/>
              </w:rPr>
            </w:pPr>
            <w:r w:rsidRPr="00BC07D4">
              <w:rPr>
                <w:rFonts w:eastAsia="Times New Roman"/>
                <w:i/>
                <w:iCs/>
                <w:color w:val="000000"/>
                <w:sz w:val="20"/>
                <w:szCs w:val="20"/>
                <w:lang w:val="en-SG" w:eastAsia="en-SG"/>
              </w:rPr>
              <w:t>N</w:t>
            </w:r>
          </w:p>
        </w:tc>
        <w:tc>
          <w:tcPr>
            <w:tcW w:w="1540" w:type="dxa"/>
            <w:tcBorders>
              <w:top w:val="nil"/>
              <w:left w:val="nil"/>
              <w:bottom w:val="nil"/>
              <w:right w:val="nil"/>
            </w:tcBorders>
            <w:shd w:val="clear" w:color="auto" w:fill="auto"/>
            <w:noWrap/>
            <w:vAlign w:val="center"/>
            <w:hideMark/>
          </w:tcPr>
          <w:p w14:paraId="4B8E300A"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103</w:t>
            </w:r>
          </w:p>
        </w:tc>
        <w:tc>
          <w:tcPr>
            <w:tcW w:w="1020" w:type="dxa"/>
            <w:tcBorders>
              <w:top w:val="nil"/>
              <w:left w:val="nil"/>
              <w:bottom w:val="nil"/>
              <w:right w:val="single" w:sz="12" w:space="0" w:color="auto"/>
            </w:tcBorders>
            <w:shd w:val="clear" w:color="auto" w:fill="auto"/>
            <w:noWrap/>
            <w:vAlign w:val="center"/>
            <w:hideMark/>
          </w:tcPr>
          <w:p w14:paraId="28D5CA99"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105</w:t>
            </w:r>
          </w:p>
        </w:tc>
      </w:tr>
      <w:tr w:rsidR="009310A2" w:rsidRPr="00BC07D4" w14:paraId="127841A0" w14:textId="77777777" w:rsidTr="009310A2">
        <w:trPr>
          <w:trHeight w:val="290"/>
        </w:trPr>
        <w:tc>
          <w:tcPr>
            <w:tcW w:w="1420" w:type="dxa"/>
            <w:tcBorders>
              <w:top w:val="nil"/>
              <w:left w:val="single" w:sz="12" w:space="0" w:color="auto"/>
              <w:bottom w:val="nil"/>
              <w:right w:val="single" w:sz="12" w:space="0" w:color="auto"/>
            </w:tcBorders>
            <w:shd w:val="clear" w:color="auto" w:fill="auto"/>
            <w:noWrap/>
            <w:vAlign w:val="center"/>
            <w:hideMark/>
          </w:tcPr>
          <w:p w14:paraId="5FD5463C" w14:textId="77777777" w:rsidR="009310A2" w:rsidRPr="00BC07D4" w:rsidRDefault="009310A2" w:rsidP="009310A2">
            <w:pPr>
              <w:jc w:val="center"/>
              <w:rPr>
                <w:rFonts w:eastAsia="Times New Roman"/>
                <w:i/>
                <w:iCs/>
                <w:color w:val="000000"/>
                <w:sz w:val="20"/>
                <w:szCs w:val="20"/>
                <w:lang w:val="en-SG" w:eastAsia="en-SG"/>
              </w:rPr>
            </w:pPr>
            <w:r w:rsidRPr="00BC07D4">
              <w:rPr>
                <w:rFonts w:eastAsia="Times New Roman"/>
                <w:i/>
                <w:iCs/>
                <w:color w:val="000000"/>
                <w:sz w:val="20"/>
                <w:szCs w:val="20"/>
                <w:lang w:val="en-SG" w:eastAsia="en-SG"/>
              </w:rPr>
              <w:t>Mean</w:t>
            </w:r>
          </w:p>
        </w:tc>
        <w:tc>
          <w:tcPr>
            <w:tcW w:w="1540" w:type="dxa"/>
            <w:tcBorders>
              <w:top w:val="nil"/>
              <w:left w:val="nil"/>
              <w:bottom w:val="nil"/>
              <w:right w:val="nil"/>
            </w:tcBorders>
            <w:shd w:val="clear" w:color="auto" w:fill="auto"/>
            <w:noWrap/>
            <w:vAlign w:val="center"/>
            <w:hideMark/>
          </w:tcPr>
          <w:p w14:paraId="13F46602"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72.8</w:t>
            </w:r>
          </w:p>
        </w:tc>
        <w:tc>
          <w:tcPr>
            <w:tcW w:w="1020" w:type="dxa"/>
            <w:tcBorders>
              <w:top w:val="nil"/>
              <w:left w:val="nil"/>
              <w:bottom w:val="nil"/>
              <w:right w:val="single" w:sz="12" w:space="0" w:color="auto"/>
            </w:tcBorders>
            <w:shd w:val="clear" w:color="auto" w:fill="auto"/>
            <w:noWrap/>
            <w:vAlign w:val="center"/>
            <w:hideMark/>
          </w:tcPr>
          <w:p w14:paraId="21FA1805"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69</w:t>
            </w:r>
          </w:p>
        </w:tc>
      </w:tr>
      <w:tr w:rsidR="009310A2" w:rsidRPr="00BC07D4" w14:paraId="5BF587E3" w14:textId="77777777" w:rsidTr="009310A2">
        <w:trPr>
          <w:trHeight w:val="290"/>
        </w:trPr>
        <w:tc>
          <w:tcPr>
            <w:tcW w:w="1420" w:type="dxa"/>
            <w:tcBorders>
              <w:top w:val="nil"/>
              <w:left w:val="single" w:sz="12" w:space="0" w:color="auto"/>
              <w:bottom w:val="nil"/>
              <w:right w:val="single" w:sz="12" w:space="0" w:color="auto"/>
            </w:tcBorders>
            <w:shd w:val="clear" w:color="auto" w:fill="auto"/>
            <w:noWrap/>
            <w:vAlign w:val="center"/>
            <w:hideMark/>
          </w:tcPr>
          <w:p w14:paraId="2A7A4761" w14:textId="77777777" w:rsidR="009310A2" w:rsidRPr="00BC07D4" w:rsidRDefault="009310A2" w:rsidP="009310A2">
            <w:pPr>
              <w:jc w:val="center"/>
              <w:rPr>
                <w:rFonts w:eastAsia="Times New Roman"/>
                <w:i/>
                <w:iCs/>
                <w:color w:val="000000"/>
                <w:sz w:val="20"/>
                <w:szCs w:val="20"/>
                <w:lang w:val="en-SG" w:eastAsia="en-SG"/>
              </w:rPr>
            </w:pPr>
            <w:r w:rsidRPr="00BC07D4">
              <w:rPr>
                <w:rFonts w:eastAsia="Times New Roman"/>
                <w:i/>
                <w:iCs/>
                <w:color w:val="000000"/>
                <w:sz w:val="20"/>
                <w:szCs w:val="20"/>
                <w:lang w:val="en-SG" w:eastAsia="en-SG"/>
              </w:rPr>
              <w:t>SD</w:t>
            </w:r>
          </w:p>
        </w:tc>
        <w:tc>
          <w:tcPr>
            <w:tcW w:w="1540" w:type="dxa"/>
            <w:tcBorders>
              <w:top w:val="nil"/>
              <w:left w:val="nil"/>
              <w:bottom w:val="nil"/>
              <w:right w:val="nil"/>
            </w:tcBorders>
            <w:shd w:val="clear" w:color="auto" w:fill="auto"/>
            <w:noWrap/>
            <w:vAlign w:val="center"/>
            <w:hideMark/>
          </w:tcPr>
          <w:p w14:paraId="30112D2E"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11.6083</w:t>
            </w:r>
          </w:p>
        </w:tc>
        <w:tc>
          <w:tcPr>
            <w:tcW w:w="1020" w:type="dxa"/>
            <w:tcBorders>
              <w:top w:val="nil"/>
              <w:left w:val="nil"/>
              <w:bottom w:val="nil"/>
              <w:right w:val="single" w:sz="12" w:space="0" w:color="auto"/>
            </w:tcBorders>
            <w:shd w:val="clear" w:color="auto" w:fill="auto"/>
            <w:noWrap/>
            <w:vAlign w:val="center"/>
            <w:hideMark/>
          </w:tcPr>
          <w:p w14:paraId="1DFF087E"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13.661</w:t>
            </w:r>
          </w:p>
        </w:tc>
      </w:tr>
      <w:tr w:rsidR="009310A2" w:rsidRPr="00BC07D4" w14:paraId="6E5EA637" w14:textId="77777777" w:rsidTr="009310A2">
        <w:trPr>
          <w:trHeight w:val="290"/>
        </w:trPr>
        <w:tc>
          <w:tcPr>
            <w:tcW w:w="1420" w:type="dxa"/>
            <w:tcBorders>
              <w:top w:val="nil"/>
              <w:left w:val="single" w:sz="12" w:space="0" w:color="auto"/>
              <w:bottom w:val="nil"/>
              <w:right w:val="single" w:sz="12" w:space="0" w:color="auto"/>
            </w:tcBorders>
            <w:shd w:val="clear" w:color="auto" w:fill="auto"/>
            <w:noWrap/>
            <w:vAlign w:val="center"/>
            <w:hideMark/>
          </w:tcPr>
          <w:p w14:paraId="756AFF8E" w14:textId="77777777" w:rsidR="009310A2" w:rsidRPr="00BC07D4" w:rsidRDefault="009310A2" w:rsidP="009310A2">
            <w:pPr>
              <w:jc w:val="center"/>
              <w:rPr>
                <w:rFonts w:eastAsia="Times New Roman"/>
                <w:i/>
                <w:iCs/>
                <w:color w:val="000000"/>
                <w:sz w:val="20"/>
                <w:szCs w:val="20"/>
                <w:lang w:val="en-SG" w:eastAsia="en-SG"/>
              </w:rPr>
            </w:pPr>
            <w:r w:rsidRPr="00BC07D4">
              <w:rPr>
                <w:rFonts w:eastAsia="Times New Roman"/>
                <w:i/>
                <w:iCs/>
                <w:color w:val="000000"/>
                <w:sz w:val="20"/>
                <w:szCs w:val="20"/>
                <w:lang w:val="en-SG" w:eastAsia="en-SG"/>
              </w:rPr>
              <w:t>t</w:t>
            </w:r>
          </w:p>
        </w:tc>
        <w:tc>
          <w:tcPr>
            <w:tcW w:w="1540" w:type="dxa"/>
            <w:tcBorders>
              <w:top w:val="nil"/>
              <w:left w:val="nil"/>
              <w:bottom w:val="nil"/>
              <w:right w:val="nil"/>
            </w:tcBorders>
            <w:shd w:val="clear" w:color="auto" w:fill="auto"/>
            <w:noWrap/>
            <w:vAlign w:val="center"/>
            <w:hideMark/>
          </w:tcPr>
          <w:p w14:paraId="24DAE09A"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2.132*</w:t>
            </w:r>
          </w:p>
        </w:tc>
        <w:tc>
          <w:tcPr>
            <w:tcW w:w="1020" w:type="dxa"/>
            <w:tcBorders>
              <w:top w:val="nil"/>
              <w:left w:val="nil"/>
              <w:bottom w:val="nil"/>
              <w:right w:val="single" w:sz="12" w:space="0" w:color="auto"/>
            </w:tcBorders>
            <w:shd w:val="clear" w:color="auto" w:fill="auto"/>
            <w:noWrap/>
            <w:vAlign w:val="bottom"/>
            <w:hideMark/>
          </w:tcPr>
          <w:p w14:paraId="7BE72AB7" w14:textId="77777777" w:rsidR="009310A2" w:rsidRPr="00BC07D4" w:rsidRDefault="009310A2" w:rsidP="009310A2">
            <w:pPr>
              <w:rPr>
                <w:rFonts w:eastAsia="Times New Roman"/>
                <w:color w:val="000000"/>
                <w:sz w:val="20"/>
                <w:szCs w:val="20"/>
                <w:lang w:val="en-SG" w:eastAsia="en-SG"/>
              </w:rPr>
            </w:pPr>
            <w:r w:rsidRPr="00BC07D4">
              <w:rPr>
                <w:rFonts w:eastAsia="Times New Roman"/>
                <w:color w:val="000000"/>
                <w:sz w:val="20"/>
                <w:szCs w:val="20"/>
                <w:lang w:val="en-SG" w:eastAsia="en-SG"/>
              </w:rPr>
              <w:t> </w:t>
            </w:r>
          </w:p>
        </w:tc>
      </w:tr>
      <w:tr w:rsidR="009310A2" w:rsidRPr="00BC07D4" w14:paraId="60D275D9" w14:textId="77777777" w:rsidTr="009310A2">
        <w:trPr>
          <w:trHeight w:val="300"/>
        </w:trPr>
        <w:tc>
          <w:tcPr>
            <w:tcW w:w="1420" w:type="dxa"/>
            <w:tcBorders>
              <w:top w:val="nil"/>
              <w:left w:val="single" w:sz="12" w:space="0" w:color="auto"/>
              <w:bottom w:val="single" w:sz="12" w:space="0" w:color="auto"/>
              <w:right w:val="single" w:sz="12" w:space="0" w:color="auto"/>
            </w:tcBorders>
            <w:shd w:val="clear" w:color="auto" w:fill="auto"/>
            <w:noWrap/>
            <w:vAlign w:val="center"/>
            <w:hideMark/>
          </w:tcPr>
          <w:p w14:paraId="58AE6745" w14:textId="77777777" w:rsidR="009310A2" w:rsidRPr="00BC07D4" w:rsidRDefault="009310A2" w:rsidP="009310A2">
            <w:pPr>
              <w:jc w:val="center"/>
              <w:rPr>
                <w:rFonts w:eastAsia="Times New Roman"/>
                <w:i/>
                <w:iCs/>
                <w:color w:val="000000"/>
                <w:sz w:val="20"/>
                <w:szCs w:val="20"/>
                <w:lang w:val="en-SG" w:eastAsia="en-SG"/>
              </w:rPr>
            </w:pPr>
            <w:r w:rsidRPr="00BC07D4">
              <w:rPr>
                <w:rFonts w:eastAsia="Times New Roman"/>
                <w:i/>
                <w:iCs/>
                <w:color w:val="000000"/>
                <w:sz w:val="20"/>
                <w:szCs w:val="20"/>
                <w:lang w:val="en-SG" w:eastAsia="en-SG"/>
              </w:rPr>
              <w:t>Cohen's ds</w:t>
            </w:r>
          </w:p>
        </w:tc>
        <w:tc>
          <w:tcPr>
            <w:tcW w:w="1540" w:type="dxa"/>
            <w:tcBorders>
              <w:top w:val="nil"/>
              <w:left w:val="nil"/>
              <w:bottom w:val="single" w:sz="12" w:space="0" w:color="auto"/>
              <w:right w:val="nil"/>
            </w:tcBorders>
            <w:shd w:val="clear" w:color="auto" w:fill="auto"/>
            <w:noWrap/>
            <w:vAlign w:val="center"/>
            <w:hideMark/>
          </w:tcPr>
          <w:p w14:paraId="35BCA6FF" w14:textId="77777777" w:rsidR="009310A2" w:rsidRPr="00BC07D4" w:rsidRDefault="009310A2" w:rsidP="009310A2">
            <w:pPr>
              <w:jc w:val="center"/>
              <w:rPr>
                <w:rFonts w:eastAsia="Times New Roman"/>
                <w:color w:val="000000"/>
                <w:sz w:val="20"/>
                <w:szCs w:val="20"/>
                <w:lang w:val="en-SG" w:eastAsia="en-SG"/>
              </w:rPr>
            </w:pPr>
            <w:r w:rsidRPr="00BC07D4">
              <w:rPr>
                <w:rFonts w:eastAsia="Times New Roman"/>
                <w:color w:val="000000"/>
                <w:sz w:val="20"/>
                <w:szCs w:val="20"/>
                <w:lang w:val="en-SG" w:eastAsia="en-SG"/>
              </w:rPr>
              <w:t>0.3</w:t>
            </w:r>
          </w:p>
        </w:tc>
        <w:tc>
          <w:tcPr>
            <w:tcW w:w="1020" w:type="dxa"/>
            <w:tcBorders>
              <w:top w:val="nil"/>
              <w:left w:val="nil"/>
              <w:bottom w:val="single" w:sz="12" w:space="0" w:color="auto"/>
              <w:right w:val="single" w:sz="12" w:space="0" w:color="auto"/>
            </w:tcBorders>
            <w:shd w:val="clear" w:color="auto" w:fill="auto"/>
            <w:noWrap/>
            <w:vAlign w:val="bottom"/>
            <w:hideMark/>
          </w:tcPr>
          <w:p w14:paraId="215F51D1" w14:textId="77777777" w:rsidR="009310A2" w:rsidRPr="00BC07D4" w:rsidRDefault="009310A2" w:rsidP="009310A2">
            <w:pPr>
              <w:rPr>
                <w:rFonts w:eastAsia="Times New Roman"/>
                <w:color w:val="000000"/>
                <w:sz w:val="20"/>
                <w:szCs w:val="20"/>
                <w:lang w:val="en-SG" w:eastAsia="en-SG"/>
              </w:rPr>
            </w:pPr>
            <w:r w:rsidRPr="00BC07D4">
              <w:rPr>
                <w:rFonts w:eastAsia="Times New Roman"/>
                <w:color w:val="000000"/>
                <w:sz w:val="20"/>
                <w:szCs w:val="20"/>
                <w:lang w:val="en-SG" w:eastAsia="en-SG"/>
              </w:rPr>
              <w:t> </w:t>
            </w:r>
          </w:p>
        </w:tc>
      </w:tr>
      <w:tr w:rsidR="009310A2" w:rsidRPr="00BC07D4" w14:paraId="3E916B69" w14:textId="77777777" w:rsidTr="009310A2">
        <w:trPr>
          <w:trHeight w:val="310"/>
        </w:trPr>
        <w:tc>
          <w:tcPr>
            <w:tcW w:w="3980" w:type="dxa"/>
            <w:gridSpan w:val="3"/>
            <w:tcBorders>
              <w:top w:val="single" w:sz="12" w:space="0" w:color="auto"/>
              <w:left w:val="nil"/>
              <w:bottom w:val="single" w:sz="12" w:space="0" w:color="auto"/>
              <w:right w:val="nil"/>
            </w:tcBorders>
            <w:shd w:val="clear" w:color="auto" w:fill="auto"/>
            <w:noWrap/>
            <w:vAlign w:val="bottom"/>
            <w:hideMark/>
          </w:tcPr>
          <w:p w14:paraId="7795880E" w14:textId="77777777" w:rsidR="009310A2" w:rsidRPr="00BC07D4" w:rsidRDefault="009310A2" w:rsidP="009310A2">
            <w:pPr>
              <w:rPr>
                <w:rFonts w:eastAsia="Times New Roman"/>
                <w:i/>
                <w:iCs/>
                <w:color w:val="000000"/>
                <w:sz w:val="20"/>
                <w:szCs w:val="20"/>
                <w:lang w:val="en-SG" w:eastAsia="en-SG"/>
              </w:rPr>
            </w:pPr>
            <w:r w:rsidRPr="00BC07D4">
              <w:rPr>
                <w:rFonts w:eastAsia="Times New Roman"/>
                <w:i/>
                <w:iCs/>
                <w:color w:val="000000"/>
                <w:sz w:val="20"/>
                <w:szCs w:val="20"/>
                <w:lang w:val="en-SG" w:eastAsia="en-SG"/>
              </w:rPr>
              <w:t xml:space="preserve">*p&lt;0.05 </w:t>
            </w:r>
          </w:p>
        </w:tc>
      </w:tr>
    </w:tbl>
    <w:p w14:paraId="55E0A376" w14:textId="25EBCFAB" w:rsidR="00AA16F0" w:rsidRDefault="00AA16F0">
      <w:pPr>
        <w:pStyle w:val="PlainText"/>
        <w:jc w:val="both"/>
        <w:rPr>
          <w:rFonts w:ascii="Times New Roman" w:hAnsi="Times New Roman"/>
          <w:lang w:val="en-GB"/>
        </w:rPr>
      </w:pPr>
    </w:p>
    <w:p w14:paraId="774D2FF0" w14:textId="77777777" w:rsidR="000A2580" w:rsidRPr="000A2580" w:rsidRDefault="000A2580" w:rsidP="001E6094">
      <w:pPr>
        <w:pStyle w:val="PlainText"/>
        <w:ind w:firstLine="284"/>
        <w:jc w:val="both"/>
        <w:rPr>
          <w:rFonts w:ascii="Times New Roman" w:hAnsi="Times New Roman"/>
          <w:lang w:val="en-GB"/>
        </w:rPr>
      </w:pPr>
      <w:r w:rsidRPr="000A2580">
        <w:rPr>
          <w:rFonts w:ascii="Times New Roman" w:hAnsi="Times New Roman"/>
          <w:lang w:val="en-GB"/>
        </w:rPr>
        <w:t xml:space="preserve">The standard deviation for experimental group </w:t>
      </w:r>
      <w:r w:rsidRPr="00DF363B">
        <w:rPr>
          <w:rFonts w:ascii="Times New Roman" w:hAnsi="Times New Roman"/>
          <w:i/>
          <w:iCs/>
          <w:lang w:val="en-GB"/>
        </w:rPr>
        <w:t>(mean=72.8)</w:t>
      </w:r>
      <w:r w:rsidRPr="000A2580">
        <w:rPr>
          <w:rFonts w:ascii="Times New Roman" w:hAnsi="Times New Roman"/>
          <w:lang w:val="en-GB"/>
        </w:rPr>
        <w:t xml:space="preserve"> was 11.6083 while for control group was 13.6610. Null hypothesis of the two group had no statistical difference was thus rejected </w:t>
      </w:r>
      <w:r w:rsidRPr="00DF363B">
        <w:rPr>
          <w:rFonts w:ascii="Times New Roman" w:hAnsi="Times New Roman"/>
          <w:i/>
          <w:iCs/>
          <w:lang w:val="en-GB"/>
        </w:rPr>
        <w:t>(p&lt;0.05)</w:t>
      </w:r>
      <w:r w:rsidRPr="000A2580">
        <w:rPr>
          <w:rFonts w:ascii="Times New Roman" w:hAnsi="Times New Roman"/>
          <w:lang w:val="en-GB"/>
        </w:rPr>
        <w:t xml:space="preserve">. A t-value of 2.132 </w:t>
      </w:r>
      <w:r w:rsidRPr="00DF363B">
        <w:rPr>
          <w:rFonts w:ascii="Times New Roman" w:hAnsi="Times New Roman"/>
          <w:i/>
          <w:iCs/>
          <w:lang w:val="en-GB"/>
        </w:rPr>
        <w:t>(p&lt;0.05)</w:t>
      </w:r>
      <w:r w:rsidRPr="000A2580">
        <w:rPr>
          <w:rFonts w:ascii="Times New Roman" w:hAnsi="Times New Roman"/>
          <w:lang w:val="en-GB"/>
        </w:rPr>
        <w:t xml:space="preserve"> suggested that observation between two group was statistically significance, which further proved that ACL was indeed having an impact on the students’ studies. Cohen’s ds value was being calculated as 0.3, indicating that there was a small positive </w:t>
      </w:r>
      <w:r w:rsidRPr="004121AA">
        <w:rPr>
          <w:rFonts w:ascii="Times New Roman" w:hAnsi="Times New Roman"/>
          <w:lang w:val="en-GB"/>
        </w:rPr>
        <w:t xml:space="preserve">significant difference </w:t>
      </w:r>
      <w:r w:rsidRPr="004121AA">
        <w:rPr>
          <w:rFonts w:ascii="Times New Roman" w:hAnsi="Times New Roman"/>
          <w:i/>
          <w:iCs/>
          <w:lang w:val="en-GB"/>
        </w:rPr>
        <w:t>(small effect size)</w:t>
      </w:r>
      <w:r w:rsidRPr="004121AA">
        <w:rPr>
          <w:rFonts w:ascii="Times New Roman" w:hAnsi="Times New Roman"/>
          <w:lang w:val="en-GB"/>
        </w:rPr>
        <w:t xml:space="preserve"> between the two groups (Cohen, 1988). The</w:t>
      </w:r>
      <w:r w:rsidRPr="000A2580">
        <w:rPr>
          <w:rFonts w:ascii="Times New Roman" w:hAnsi="Times New Roman"/>
          <w:lang w:val="en-GB"/>
        </w:rPr>
        <w:t xml:space="preserve"> hypothesis for this research was then valid. Experimental group outperformed the control group, albeit with a small effect size d=0.3 </w:t>
      </w:r>
      <w:r w:rsidRPr="00485C05">
        <w:rPr>
          <w:rFonts w:ascii="Times New Roman" w:hAnsi="Times New Roman"/>
          <w:i/>
          <w:iCs/>
          <w:lang w:val="en-GB"/>
        </w:rPr>
        <w:t>(p&lt;0.05)</w:t>
      </w:r>
      <w:r w:rsidRPr="000A2580">
        <w:rPr>
          <w:rFonts w:ascii="Times New Roman" w:hAnsi="Times New Roman"/>
          <w:lang w:val="en-GB"/>
        </w:rPr>
        <w:t xml:space="preserve">. </w:t>
      </w:r>
    </w:p>
    <w:p w14:paraId="6735001F" w14:textId="77777777" w:rsidR="000A2580" w:rsidRPr="000A2580" w:rsidRDefault="000A2580" w:rsidP="000A2580">
      <w:pPr>
        <w:pStyle w:val="PlainText"/>
        <w:jc w:val="both"/>
        <w:rPr>
          <w:rFonts w:ascii="Times New Roman" w:hAnsi="Times New Roman"/>
          <w:lang w:val="en-GB"/>
        </w:rPr>
      </w:pPr>
    </w:p>
    <w:p w14:paraId="7752A1DD" w14:textId="77777777" w:rsidR="000A2580" w:rsidRPr="000A2580" w:rsidRDefault="000A2580" w:rsidP="00C75141">
      <w:pPr>
        <w:pStyle w:val="PlainText"/>
        <w:ind w:firstLine="284"/>
        <w:jc w:val="both"/>
        <w:rPr>
          <w:rFonts w:ascii="Times New Roman" w:hAnsi="Times New Roman"/>
          <w:lang w:val="en-GB"/>
        </w:rPr>
      </w:pPr>
      <w:r w:rsidRPr="000A2580">
        <w:rPr>
          <w:rFonts w:ascii="Times New Roman" w:hAnsi="Times New Roman"/>
          <w:lang w:val="en-GB"/>
        </w:rPr>
        <w:t xml:space="preserve">Based on the results obtained above, the hypothesis was accepted, ACL improved the students’ assessment score, albeit with a small effect size. </w:t>
      </w:r>
    </w:p>
    <w:p w14:paraId="38189E1C" w14:textId="77777777" w:rsidR="000A2580" w:rsidRPr="000A2580" w:rsidRDefault="000A2580" w:rsidP="000A2580">
      <w:pPr>
        <w:pStyle w:val="PlainText"/>
        <w:jc w:val="both"/>
        <w:rPr>
          <w:rFonts w:ascii="Times New Roman" w:hAnsi="Times New Roman"/>
          <w:lang w:val="en-GB"/>
        </w:rPr>
      </w:pPr>
    </w:p>
    <w:p w14:paraId="237677B5" w14:textId="77777777" w:rsidR="000A2580" w:rsidRPr="000A2580" w:rsidRDefault="000A2580" w:rsidP="000A2580">
      <w:pPr>
        <w:pStyle w:val="PlainText"/>
        <w:jc w:val="both"/>
        <w:rPr>
          <w:rFonts w:ascii="Times New Roman" w:hAnsi="Times New Roman"/>
          <w:i/>
          <w:iCs/>
          <w:lang w:val="en-GB"/>
        </w:rPr>
      </w:pPr>
      <w:r w:rsidRPr="000A2580">
        <w:rPr>
          <w:rFonts w:ascii="Times New Roman" w:hAnsi="Times New Roman"/>
          <w:i/>
          <w:iCs/>
          <w:lang w:val="en-GB"/>
        </w:rPr>
        <w:t xml:space="preserve">Surveys feedback </w:t>
      </w:r>
    </w:p>
    <w:p w14:paraId="12DB24F0" w14:textId="77777777" w:rsidR="000A2580" w:rsidRPr="000A2580" w:rsidRDefault="000A2580" w:rsidP="000A2580">
      <w:pPr>
        <w:pStyle w:val="PlainText"/>
        <w:jc w:val="both"/>
        <w:rPr>
          <w:rFonts w:ascii="Times New Roman" w:hAnsi="Times New Roman"/>
          <w:lang w:val="en-GB"/>
        </w:rPr>
      </w:pPr>
    </w:p>
    <w:p w14:paraId="628A98E1" w14:textId="15721EF1" w:rsidR="00AA16F0" w:rsidRDefault="00B6745D" w:rsidP="00C75141">
      <w:pPr>
        <w:pStyle w:val="PlainText"/>
        <w:ind w:firstLine="284"/>
        <w:jc w:val="both"/>
        <w:rPr>
          <w:rFonts w:ascii="Times New Roman" w:hAnsi="Times New Roman"/>
          <w:lang w:val="en-GB"/>
        </w:rPr>
      </w:pPr>
      <w:r w:rsidRPr="00B6745D">
        <w:rPr>
          <w:rFonts w:ascii="Times New Roman" w:hAnsi="Times New Roman"/>
          <w:lang w:val="en-GB"/>
        </w:rPr>
        <w:t xml:space="preserve">A student perception survey was conducted to investigate the relationship between how well students learned in ACL and their ability to apply the corresponding </w:t>
      </w:r>
      <w:r>
        <w:rPr>
          <w:rFonts w:ascii="Times New Roman" w:hAnsi="Times New Roman"/>
          <w:lang w:val="en-GB"/>
        </w:rPr>
        <w:t>skills</w:t>
      </w:r>
      <w:r w:rsidRPr="00B6745D">
        <w:rPr>
          <w:rFonts w:ascii="Times New Roman" w:hAnsi="Times New Roman"/>
          <w:lang w:val="en-GB"/>
        </w:rPr>
        <w:t xml:space="preserve">. </w:t>
      </w:r>
      <w:r w:rsidR="00A47156">
        <w:rPr>
          <w:rFonts w:ascii="Times New Roman" w:hAnsi="Times New Roman"/>
          <w:lang w:val="en-GB"/>
        </w:rPr>
        <w:t>Survey q</w:t>
      </w:r>
      <w:r w:rsidR="00A47156" w:rsidRPr="00A47156">
        <w:rPr>
          <w:rFonts w:ascii="Times New Roman" w:hAnsi="Times New Roman"/>
          <w:lang w:val="en-GB"/>
        </w:rPr>
        <w:t xml:space="preserve">uestions were designed to assess students' abilities to integrate lower and higher order thinking skills. </w:t>
      </w:r>
      <w:r w:rsidR="000A2580" w:rsidRPr="000A2580">
        <w:rPr>
          <w:rFonts w:ascii="Times New Roman" w:hAnsi="Times New Roman"/>
          <w:lang w:val="en-GB"/>
        </w:rPr>
        <w:t xml:space="preserve">in terms of Understanding, Applying and Analysing. </w:t>
      </w:r>
      <w:r w:rsidR="000A2580" w:rsidRPr="001F3649">
        <w:rPr>
          <w:rFonts w:ascii="Times New Roman" w:hAnsi="Times New Roman"/>
          <w:lang w:val="en-GB"/>
        </w:rPr>
        <w:t xml:space="preserve">Figure </w:t>
      </w:r>
      <w:r w:rsidR="003848C4" w:rsidRPr="001F3649">
        <w:rPr>
          <w:rFonts w:ascii="Times New Roman" w:hAnsi="Times New Roman"/>
          <w:lang w:val="en-GB"/>
        </w:rPr>
        <w:t>8 and 9</w:t>
      </w:r>
      <w:r w:rsidR="000A2580" w:rsidRPr="001F3649">
        <w:rPr>
          <w:rFonts w:ascii="Times New Roman" w:hAnsi="Times New Roman"/>
          <w:lang w:val="en-GB"/>
        </w:rPr>
        <w:t xml:space="preserve"> </w:t>
      </w:r>
      <w:r w:rsidR="000A2580" w:rsidRPr="000A2580">
        <w:rPr>
          <w:rFonts w:ascii="Times New Roman" w:hAnsi="Times New Roman"/>
          <w:lang w:val="en-GB"/>
        </w:rPr>
        <w:t xml:space="preserve">showed the differences in score for control and experimental group in terms of feedback score for two major </w:t>
      </w:r>
      <w:r w:rsidR="00A01DD2" w:rsidRPr="000A2580">
        <w:rPr>
          <w:rFonts w:ascii="Times New Roman" w:hAnsi="Times New Roman"/>
          <w:lang w:val="en-GB"/>
        </w:rPr>
        <w:t>skills:</w:t>
      </w:r>
      <w:r w:rsidR="000A2580" w:rsidRPr="000A2580">
        <w:rPr>
          <w:rFonts w:ascii="Times New Roman" w:hAnsi="Times New Roman"/>
          <w:lang w:val="en-GB"/>
        </w:rPr>
        <w:t xml:space="preserve"> CNC Turning and CNC Milling.</w:t>
      </w:r>
    </w:p>
    <w:p w14:paraId="0D68DDCD" w14:textId="0B11B4BA" w:rsidR="000A2580" w:rsidRDefault="000A2580" w:rsidP="000A2580">
      <w:pPr>
        <w:pStyle w:val="PlainText"/>
        <w:jc w:val="both"/>
        <w:rPr>
          <w:rFonts w:ascii="Times New Roman" w:hAnsi="Times New Roman"/>
          <w:lang w:val="en-GB"/>
        </w:rPr>
      </w:pPr>
    </w:p>
    <w:p w14:paraId="2D44D266" w14:textId="77777777" w:rsidR="00BC2503" w:rsidRDefault="000A2580" w:rsidP="00BC2503">
      <w:pPr>
        <w:pStyle w:val="PlainText"/>
        <w:keepNext/>
        <w:jc w:val="center"/>
      </w:pPr>
      <w:r>
        <w:rPr>
          <w:noProof/>
          <w:color w:val="000000"/>
          <w:sz w:val="24"/>
          <w:lang w:val="en-US"/>
        </w:rPr>
        <w:drawing>
          <wp:inline distT="0" distB="0" distL="0" distR="0" wp14:anchorId="5343BA7D" wp14:editId="14C52807">
            <wp:extent cx="2879725" cy="1167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1167130"/>
                    </a:xfrm>
                    <a:prstGeom prst="rect">
                      <a:avLst/>
                    </a:prstGeom>
                    <a:noFill/>
                    <a:ln>
                      <a:noFill/>
                    </a:ln>
                  </pic:spPr>
                </pic:pic>
              </a:graphicData>
            </a:graphic>
          </wp:inline>
        </w:drawing>
      </w:r>
    </w:p>
    <w:p w14:paraId="72BEB5FE" w14:textId="77777777" w:rsidR="00BC2503" w:rsidRDefault="00BC2503" w:rsidP="00411766">
      <w:pPr>
        <w:pStyle w:val="Caption"/>
        <w:spacing w:after="0"/>
      </w:pPr>
    </w:p>
    <w:p w14:paraId="414F0056" w14:textId="21055577" w:rsidR="000A2580" w:rsidRDefault="00BC2503" w:rsidP="00411766">
      <w:pPr>
        <w:pStyle w:val="Caption"/>
        <w:spacing w:after="0"/>
        <w:rPr>
          <w:lang w:val="en-GB"/>
        </w:rPr>
      </w:pPr>
      <w:r>
        <w:t xml:space="preserve">Figure </w:t>
      </w:r>
      <w:r>
        <w:fldChar w:fldCharType="begin"/>
      </w:r>
      <w:r>
        <w:instrText xml:space="preserve"> SEQ Figure \* ARABIC </w:instrText>
      </w:r>
      <w:r>
        <w:fldChar w:fldCharType="separate"/>
      </w:r>
      <w:r w:rsidR="00A13C26">
        <w:rPr>
          <w:noProof/>
        </w:rPr>
        <w:t>8</w:t>
      </w:r>
      <w:r>
        <w:fldChar w:fldCharType="end"/>
      </w:r>
      <w:r>
        <w:t xml:space="preserve">: </w:t>
      </w:r>
      <w:r w:rsidRPr="00B61D0D">
        <w:t>Survey score for CNC Turning</w:t>
      </w:r>
    </w:p>
    <w:p w14:paraId="0F9069BC" w14:textId="2C5FB84F" w:rsidR="000A2580" w:rsidRDefault="000A2580" w:rsidP="000A2580">
      <w:pPr>
        <w:pStyle w:val="PlainText"/>
        <w:jc w:val="center"/>
        <w:rPr>
          <w:rFonts w:ascii="Times New Roman" w:hAnsi="Times New Roman"/>
          <w:lang w:val="en-GB"/>
        </w:rPr>
      </w:pPr>
    </w:p>
    <w:p w14:paraId="39FF4D16" w14:textId="77777777" w:rsidR="003848C4" w:rsidRDefault="000A2580" w:rsidP="003848C4">
      <w:pPr>
        <w:pStyle w:val="PlainText"/>
        <w:keepNext/>
        <w:jc w:val="center"/>
      </w:pPr>
      <w:r>
        <w:rPr>
          <w:noProof/>
          <w:color w:val="000000"/>
        </w:rPr>
        <w:drawing>
          <wp:inline distT="0" distB="0" distL="0" distR="0" wp14:anchorId="5B395CEA" wp14:editId="44D4C8B9">
            <wp:extent cx="2879725" cy="116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9725" cy="1168400"/>
                    </a:xfrm>
                    <a:prstGeom prst="rect">
                      <a:avLst/>
                    </a:prstGeom>
                    <a:noFill/>
                    <a:ln>
                      <a:noFill/>
                    </a:ln>
                  </pic:spPr>
                </pic:pic>
              </a:graphicData>
            </a:graphic>
          </wp:inline>
        </w:drawing>
      </w:r>
    </w:p>
    <w:p w14:paraId="2898C6CC" w14:textId="77777777" w:rsidR="003848C4" w:rsidRDefault="003848C4" w:rsidP="003848C4">
      <w:pPr>
        <w:pStyle w:val="Caption"/>
        <w:spacing w:after="0"/>
      </w:pPr>
    </w:p>
    <w:p w14:paraId="6F2E6EE9" w14:textId="515E7DF6" w:rsidR="000A2580" w:rsidRDefault="003848C4" w:rsidP="003848C4">
      <w:pPr>
        <w:pStyle w:val="Caption"/>
        <w:spacing w:after="0"/>
        <w:rPr>
          <w:lang w:val="en-GB"/>
        </w:rPr>
      </w:pPr>
      <w:r>
        <w:t xml:space="preserve">Figure </w:t>
      </w:r>
      <w:r>
        <w:fldChar w:fldCharType="begin"/>
      </w:r>
      <w:r>
        <w:instrText xml:space="preserve"> SEQ Figure \* ARABIC </w:instrText>
      </w:r>
      <w:r>
        <w:fldChar w:fldCharType="separate"/>
      </w:r>
      <w:r w:rsidR="00A13C26">
        <w:rPr>
          <w:noProof/>
        </w:rPr>
        <w:t>9</w:t>
      </w:r>
      <w:r>
        <w:fldChar w:fldCharType="end"/>
      </w:r>
      <w:r>
        <w:t xml:space="preserve">: </w:t>
      </w:r>
      <w:r w:rsidRPr="0099135F">
        <w:t xml:space="preserve">Survey score for CNC </w:t>
      </w:r>
      <w:r>
        <w:t>Milling</w:t>
      </w:r>
    </w:p>
    <w:p w14:paraId="6147ABBC" w14:textId="25C8CC35" w:rsidR="000A2580" w:rsidRDefault="000A2580" w:rsidP="000A2580">
      <w:pPr>
        <w:pStyle w:val="PlainText"/>
        <w:jc w:val="both"/>
        <w:rPr>
          <w:rFonts w:ascii="Times New Roman" w:hAnsi="Times New Roman"/>
          <w:lang w:val="en-GB"/>
        </w:rPr>
      </w:pPr>
    </w:p>
    <w:p w14:paraId="234ED569" w14:textId="21FACF11" w:rsidR="000A2580" w:rsidRDefault="00AE427C" w:rsidP="00624ABF">
      <w:pPr>
        <w:pStyle w:val="PlainText"/>
        <w:ind w:firstLine="284"/>
        <w:jc w:val="both"/>
        <w:rPr>
          <w:rFonts w:ascii="Times New Roman" w:hAnsi="Times New Roman"/>
          <w:lang w:val="en-GB"/>
        </w:rPr>
      </w:pPr>
      <w:r w:rsidRPr="00AE427C">
        <w:rPr>
          <w:rFonts w:ascii="Times New Roman" w:hAnsi="Times New Roman"/>
          <w:lang w:val="en-GB"/>
        </w:rPr>
        <w:t xml:space="preserve">The feedback score indicated that students who participated in the ACL setting learnt </w:t>
      </w:r>
      <w:r>
        <w:rPr>
          <w:rFonts w:ascii="Times New Roman" w:hAnsi="Times New Roman"/>
          <w:lang w:val="en-GB"/>
        </w:rPr>
        <w:t>more effectively</w:t>
      </w:r>
      <w:r w:rsidR="000A2580" w:rsidRPr="000A2580">
        <w:rPr>
          <w:rFonts w:ascii="Times New Roman" w:hAnsi="Times New Roman"/>
          <w:lang w:val="en-GB"/>
        </w:rPr>
        <w:t xml:space="preserve">. Increases in rating for both CNC Turning (from 4.04 to 4.12) and CNC Milling (from 3.88 to 4.06) </w:t>
      </w:r>
      <w:r w:rsidR="0022438D" w:rsidRPr="0022438D">
        <w:rPr>
          <w:rFonts w:ascii="Times New Roman" w:hAnsi="Times New Roman"/>
          <w:lang w:val="en-GB"/>
        </w:rPr>
        <w:t xml:space="preserve">indicated that students were able to recall the fundamentals of machining and apply them when planning cutting strategies. </w:t>
      </w:r>
      <w:r w:rsidR="000A2580" w:rsidRPr="000A2580">
        <w:rPr>
          <w:rFonts w:ascii="Times New Roman" w:hAnsi="Times New Roman"/>
          <w:lang w:val="en-GB"/>
        </w:rPr>
        <w:t xml:space="preserve"> </w:t>
      </w:r>
      <w:r w:rsidR="00BA772B" w:rsidRPr="00BA772B">
        <w:rPr>
          <w:rFonts w:ascii="Times New Roman" w:hAnsi="Times New Roman"/>
          <w:lang w:val="en-GB"/>
        </w:rPr>
        <w:t>In accordance with the quiz results of the two groups of students, it was discovered that students who had participated in ACL activities were more capable of grasping the theory of CAM than those who had not</w:t>
      </w:r>
      <w:r w:rsidR="000A2580" w:rsidRPr="000A2580">
        <w:rPr>
          <w:rFonts w:ascii="Times New Roman" w:hAnsi="Times New Roman"/>
          <w:lang w:val="en-GB"/>
        </w:rPr>
        <w:t>.</w:t>
      </w:r>
      <w:r w:rsidR="000179D1" w:rsidRPr="000179D1">
        <w:t xml:space="preserve"> </w:t>
      </w:r>
      <w:r w:rsidR="000179D1" w:rsidRPr="000179D1">
        <w:rPr>
          <w:rFonts w:ascii="Times New Roman" w:hAnsi="Times New Roman"/>
          <w:lang w:val="en-GB"/>
        </w:rPr>
        <w:t xml:space="preserve">It further demonstrated </w:t>
      </w:r>
      <w:r w:rsidR="000179D1">
        <w:rPr>
          <w:rFonts w:ascii="Times New Roman" w:hAnsi="Times New Roman"/>
          <w:lang w:val="en-GB"/>
        </w:rPr>
        <w:t xml:space="preserve">how </w:t>
      </w:r>
      <w:r w:rsidR="000179D1" w:rsidRPr="000179D1">
        <w:rPr>
          <w:rFonts w:ascii="Times New Roman" w:hAnsi="Times New Roman"/>
          <w:lang w:val="en-GB"/>
        </w:rPr>
        <w:t xml:space="preserve">ACL was </w:t>
      </w:r>
      <w:r w:rsidR="00A5580D">
        <w:rPr>
          <w:rFonts w:ascii="Times New Roman" w:hAnsi="Times New Roman"/>
          <w:lang w:val="en-GB"/>
        </w:rPr>
        <w:t xml:space="preserve">able to </w:t>
      </w:r>
      <w:r w:rsidR="000179D1" w:rsidRPr="000179D1">
        <w:rPr>
          <w:rFonts w:ascii="Times New Roman" w:hAnsi="Times New Roman"/>
          <w:lang w:val="en-GB"/>
        </w:rPr>
        <w:t>enhanc</w:t>
      </w:r>
      <w:r w:rsidR="00A5580D">
        <w:rPr>
          <w:rFonts w:ascii="Times New Roman" w:hAnsi="Times New Roman"/>
          <w:lang w:val="en-GB"/>
        </w:rPr>
        <w:t>e</w:t>
      </w:r>
      <w:r w:rsidR="000179D1" w:rsidRPr="000179D1">
        <w:rPr>
          <w:rFonts w:ascii="Times New Roman" w:hAnsi="Times New Roman"/>
          <w:lang w:val="en-GB"/>
        </w:rPr>
        <w:t xml:space="preserve"> the CAM learning environment for students.</w:t>
      </w:r>
    </w:p>
    <w:p w14:paraId="09631886" w14:textId="2DC2324D" w:rsidR="000A2580" w:rsidRDefault="000A2580" w:rsidP="000A2580">
      <w:pPr>
        <w:pStyle w:val="PlainText"/>
        <w:jc w:val="both"/>
        <w:rPr>
          <w:rFonts w:ascii="Times New Roman" w:hAnsi="Times New Roman"/>
          <w:lang w:val="en-GB"/>
        </w:rPr>
      </w:pPr>
    </w:p>
    <w:p w14:paraId="7AF0A531" w14:textId="77777777" w:rsidR="000A2580" w:rsidRPr="000A2580" w:rsidRDefault="000A2580" w:rsidP="000A2580">
      <w:pPr>
        <w:pStyle w:val="PlainText"/>
        <w:jc w:val="both"/>
        <w:rPr>
          <w:rFonts w:ascii="Times New Roman" w:hAnsi="Times New Roman"/>
          <w:i/>
          <w:iCs/>
          <w:lang w:val="en-GB"/>
        </w:rPr>
      </w:pPr>
      <w:r w:rsidRPr="000A2580">
        <w:rPr>
          <w:rFonts w:ascii="Times New Roman" w:hAnsi="Times New Roman"/>
          <w:i/>
          <w:iCs/>
          <w:lang w:val="en-GB"/>
        </w:rPr>
        <w:t xml:space="preserve">Questionnaire feedback </w:t>
      </w:r>
    </w:p>
    <w:p w14:paraId="7CFE44F4" w14:textId="77777777" w:rsidR="000A2580" w:rsidRPr="000A2580" w:rsidRDefault="000A2580" w:rsidP="000A2580">
      <w:pPr>
        <w:pStyle w:val="PlainText"/>
        <w:jc w:val="both"/>
        <w:rPr>
          <w:rFonts w:ascii="Times New Roman" w:hAnsi="Times New Roman"/>
          <w:lang w:val="en-GB"/>
        </w:rPr>
      </w:pPr>
    </w:p>
    <w:p w14:paraId="6430CF6E" w14:textId="519AA8C9" w:rsidR="000A2580" w:rsidRDefault="003C44DE" w:rsidP="007004FE">
      <w:pPr>
        <w:pStyle w:val="PlainText"/>
        <w:ind w:firstLine="284"/>
        <w:jc w:val="both"/>
        <w:rPr>
          <w:rFonts w:ascii="Times New Roman" w:hAnsi="Times New Roman"/>
          <w:lang w:val="en-GB"/>
        </w:rPr>
      </w:pPr>
      <w:r w:rsidRPr="003C44DE">
        <w:rPr>
          <w:rFonts w:ascii="Times New Roman" w:hAnsi="Times New Roman"/>
          <w:lang w:val="en-GB"/>
        </w:rPr>
        <w:t>A second student perception survey was also conducted to allow students to rate their ACL experience. To further understand the students' reactions and satisfaction with ACL, eight questions were conceived and produced.</w:t>
      </w:r>
    </w:p>
    <w:p w14:paraId="74993523" w14:textId="77777777" w:rsidR="00A13C26" w:rsidRDefault="000A2580" w:rsidP="00A13C26">
      <w:pPr>
        <w:pStyle w:val="PlainText"/>
        <w:keepNext/>
        <w:jc w:val="center"/>
      </w:pPr>
      <w:r>
        <w:rPr>
          <w:noProof/>
          <w:color w:val="000000"/>
          <w:sz w:val="24"/>
          <w:lang w:val="en-US"/>
        </w:rPr>
        <w:lastRenderedPageBreak/>
        <w:drawing>
          <wp:inline distT="0" distB="0" distL="0" distR="0" wp14:anchorId="0A836B65" wp14:editId="3BBB208C">
            <wp:extent cx="2879725" cy="1741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9725" cy="1741170"/>
                    </a:xfrm>
                    <a:prstGeom prst="rect">
                      <a:avLst/>
                    </a:prstGeom>
                    <a:noFill/>
                    <a:ln>
                      <a:noFill/>
                    </a:ln>
                  </pic:spPr>
                </pic:pic>
              </a:graphicData>
            </a:graphic>
          </wp:inline>
        </w:drawing>
      </w:r>
    </w:p>
    <w:p w14:paraId="6C4D2209" w14:textId="77777777" w:rsidR="00A13C26" w:rsidRDefault="00A13C26" w:rsidP="00A13C26">
      <w:pPr>
        <w:pStyle w:val="Caption"/>
        <w:spacing w:after="0"/>
      </w:pPr>
    </w:p>
    <w:p w14:paraId="0195FB6F" w14:textId="40648B9F" w:rsidR="000A2580" w:rsidRDefault="00A13C26" w:rsidP="00A13C26">
      <w:pPr>
        <w:pStyle w:val="Caption"/>
        <w:spacing w:after="0"/>
        <w:rPr>
          <w:lang w:val="en-GB"/>
        </w:rPr>
      </w:pPr>
      <w:r>
        <w:t xml:space="preserve">Figure </w:t>
      </w:r>
      <w:r>
        <w:fldChar w:fldCharType="begin"/>
      </w:r>
      <w:r>
        <w:instrText xml:space="preserve"> SEQ Figure \* ARABIC </w:instrText>
      </w:r>
      <w:r>
        <w:fldChar w:fldCharType="separate"/>
      </w:r>
      <w:r>
        <w:rPr>
          <w:noProof/>
        </w:rPr>
        <w:t>10</w:t>
      </w:r>
      <w:r>
        <w:fldChar w:fldCharType="end"/>
      </w:r>
      <w:r>
        <w:t xml:space="preserve">: </w:t>
      </w:r>
      <w:r w:rsidRPr="00B709C3">
        <w:t>ACL Questionnaire results</w:t>
      </w:r>
    </w:p>
    <w:p w14:paraId="24F0AE89" w14:textId="77777777" w:rsidR="00A13C26" w:rsidRDefault="00A13C26" w:rsidP="000A2580">
      <w:pPr>
        <w:pStyle w:val="PlainText"/>
        <w:jc w:val="both"/>
        <w:rPr>
          <w:rFonts w:ascii="Times New Roman" w:hAnsi="Times New Roman"/>
          <w:lang w:val="en-GB"/>
        </w:rPr>
      </w:pPr>
    </w:p>
    <w:p w14:paraId="318ACB64" w14:textId="4ABF38BE" w:rsidR="000A2580" w:rsidRDefault="000A2580" w:rsidP="003E1CEA">
      <w:pPr>
        <w:pStyle w:val="PlainText"/>
        <w:ind w:firstLine="284"/>
        <w:jc w:val="both"/>
        <w:rPr>
          <w:rFonts w:ascii="Times New Roman" w:hAnsi="Times New Roman"/>
          <w:lang w:val="en-GB"/>
        </w:rPr>
      </w:pPr>
      <w:r w:rsidRPr="000A2580">
        <w:rPr>
          <w:rFonts w:ascii="Times New Roman" w:hAnsi="Times New Roman"/>
          <w:lang w:val="en-GB"/>
        </w:rPr>
        <w:t xml:space="preserve">Table </w:t>
      </w:r>
      <w:r w:rsidR="00BB69A8">
        <w:rPr>
          <w:rFonts w:ascii="Times New Roman" w:hAnsi="Times New Roman"/>
          <w:lang w:val="en-GB"/>
        </w:rPr>
        <w:t xml:space="preserve">2 </w:t>
      </w:r>
      <w:r w:rsidRPr="000A2580">
        <w:rPr>
          <w:rFonts w:ascii="Times New Roman" w:hAnsi="Times New Roman"/>
          <w:lang w:val="en-GB"/>
        </w:rPr>
        <w:t>showed some of the constructive feedbacks given by students regarding their learning in the active-collaborative learning (ACL) approach.</w:t>
      </w:r>
    </w:p>
    <w:p w14:paraId="42CC07A5" w14:textId="00D397DE" w:rsidR="000A2580" w:rsidRDefault="000A2580" w:rsidP="000A2580">
      <w:pPr>
        <w:pStyle w:val="PlainText"/>
        <w:jc w:val="both"/>
        <w:rPr>
          <w:rFonts w:ascii="Times New Roman" w:hAnsi="Times New Roman"/>
          <w:lang w:val="en-GB"/>
        </w:rPr>
      </w:pPr>
    </w:p>
    <w:p w14:paraId="3E7ACC87" w14:textId="191CAD23" w:rsidR="006D11E9" w:rsidRDefault="006D11E9" w:rsidP="006D11E9">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536499">
        <w:t>Feedback from students about implementing ACL in classroom setup</w:t>
      </w:r>
    </w:p>
    <w:tbl>
      <w:tblPr>
        <w:tblW w:w="0" w:type="auto"/>
        <w:tblBorders>
          <w:insideH w:val="single" w:sz="4" w:space="0" w:color="auto"/>
        </w:tblBorders>
        <w:tblLook w:val="04A0" w:firstRow="1" w:lastRow="0" w:firstColumn="1" w:lastColumn="0" w:noHBand="0" w:noVBand="1"/>
      </w:tblPr>
      <w:tblGrid>
        <w:gridCol w:w="4535"/>
      </w:tblGrid>
      <w:tr w:rsidR="000A2580" w:rsidRPr="000A2580" w14:paraId="228C259E" w14:textId="77777777" w:rsidTr="009B3271">
        <w:tc>
          <w:tcPr>
            <w:tcW w:w="4535" w:type="dxa"/>
            <w:tcBorders>
              <w:top w:val="single" w:sz="4" w:space="0" w:color="auto"/>
              <w:bottom w:val="single" w:sz="4" w:space="0" w:color="auto"/>
            </w:tcBorders>
            <w:shd w:val="clear" w:color="auto" w:fill="auto"/>
          </w:tcPr>
          <w:p w14:paraId="049350B7" w14:textId="77777777" w:rsidR="000A2580" w:rsidRPr="000A2580" w:rsidRDefault="000A2580" w:rsidP="005E1C95">
            <w:pPr>
              <w:jc w:val="both"/>
              <w:rPr>
                <w:i/>
                <w:sz w:val="20"/>
                <w:szCs w:val="20"/>
              </w:rPr>
            </w:pPr>
            <w:r w:rsidRPr="000A2580">
              <w:rPr>
                <w:i/>
                <w:sz w:val="20"/>
                <w:szCs w:val="20"/>
              </w:rPr>
              <w:t>“The ACL worksheet allows me to practice and implement the knowledge i've learned from the various topics. I feel that since its not graded doing it is more for your own benefit and i don't have to worry about getting the correct answers but instead more of getting the correct idea or understanding. Since we go through the tutorials in class also instead of just submitting for grading without going through i'm able to clarify any doubts I have on any questions to help further my understandings. Overall i think the ACL is beneficial in helping my learning and understanding of the various topics.”</w:t>
            </w:r>
          </w:p>
        </w:tc>
      </w:tr>
      <w:tr w:rsidR="000A2580" w:rsidRPr="000A2580" w14:paraId="14240054" w14:textId="77777777" w:rsidTr="009B3271">
        <w:tc>
          <w:tcPr>
            <w:tcW w:w="4535" w:type="dxa"/>
            <w:tcBorders>
              <w:top w:val="single" w:sz="4" w:space="0" w:color="auto"/>
            </w:tcBorders>
            <w:shd w:val="clear" w:color="auto" w:fill="auto"/>
          </w:tcPr>
          <w:p w14:paraId="758BED85" w14:textId="77777777" w:rsidR="000A2580" w:rsidRPr="000A2580" w:rsidRDefault="000A2580" w:rsidP="005E1C95">
            <w:pPr>
              <w:jc w:val="both"/>
              <w:rPr>
                <w:i/>
                <w:sz w:val="20"/>
                <w:szCs w:val="20"/>
              </w:rPr>
            </w:pPr>
          </w:p>
        </w:tc>
      </w:tr>
      <w:tr w:rsidR="000A2580" w:rsidRPr="000A2580" w14:paraId="1A81CFAB" w14:textId="77777777" w:rsidTr="009B3271">
        <w:tc>
          <w:tcPr>
            <w:tcW w:w="4535" w:type="dxa"/>
            <w:shd w:val="clear" w:color="auto" w:fill="auto"/>
          </w:tcPr>
          <w:p w14:paraId="442D577B" w14:textId="77777777" w:rsidR="000A2580" w:rsidRPr="000A2580" w:rsidRDefault="000A2580" w:rsidP="005E1C95">
            <w:pPr>
              <w:jc w:val="both"/>
              <w:rPr>
                <w:i/>
                <w:sz w:val="20"/>
                <w:szCs w:val="20"/>
              </w:rPr>
            </w:pPr>
            <w:r w:rsidRPr="000A2580">
              <w:rPr>
                <w:i/>
                <w:sz w:val="20"/>
                <w:szCs w:val="20"/>
              </w:rPr>
              <w:t>“It gave us an opportunity to learn at our own pace which makes us learn better. We are also able to do additional research online if we do not understand any things rather than being blur blur in class.”</w:t>
            </w:r>
          </w:p>
        </w:tc>
      </w:tr>
      <w:tr w:rsidR="000A2580" w:rsidRPr="000A2580" w14:paraId="42E0820F" w14:textId="77777777" w:rsidTr="009B3271">
        <w:tc>
          <w:tcPr>
            <w:tcW w:w="4535" w:type="dxa"/>
            <w:shd w:val="clear" w:color="auto" w:fill="auto"/>
          </w:tcPr>
          <w:p w14:paraId="01089FA1" w14:textId="77777777" w:rsidR="000A2580" w:rsidRPr="000A2580" w:rsidRDefault="000A2580" w:rsidP="005E1C95">
            <w:pPr>
              <w:jc w:val="both"/>
              <w:rPr>
                <w:i/>
                <w:sz w:val="20"/>
                <w:szCs w:val="20"/>
              </w:rPr>
            </w:pPr>
          </w:p>
        </w:tc>
      </w:tr>
      <w:tr w:rsidR="000A2580" w:rsidRPr="000A2580" w14:paraId="6E2B13C6" w14:textId="77777777" w:rsidTr="009B3271">
        <w:tc>
          <w:tcPr>
            <w:tcW w:w="4535" w:type="dxa"/>
            <w:shd w:val="clear" w:color="auto" w:fill="auto"/>
          </w:tcPr>
          <w:p w14:paraId="39EA577C" w14:textId="77777777" w:rsidR="000A2580" w:rsidRPr="000A2580" w:rsidRDefault="000A2580" w:rsidP="005E1C95">
            <w:pPr>
              <w:jc w:val="both"/>
              <w:rPr>
                <w:i/>
                <w:sz w:val="20"/>
                <w:szCs w:val="20"/>
              </w:rPr>
            </w:pPr>
            <w:r w:rsidRPr="000A2580">
              <w:rPr>
                <w:i/>
                <w:sz w:val="20"/>
                <w:szCs w:val="20"/>
              </w:rPr>
              <w:t>“It can be time consuming sometimes but it allows me to be more prepared for the next lesson. It is also one of the few times I actually learn something when at home.”</w:t>
            </w:r>
          </w:p>
        </w:tc>
      </w:tr>
      <w:tr w:rsidR="000A2580" w:rsidRPr="000A2580" w14:paraId="479780D2" w14:textId="77777777" w:rsidTr="009B3271">
        <w:tc>
          <w:tcPr>
            <w:tcW w:w="4535" w:type="dxa"/>
            <w:shd w:val="clear" w:color="auto" w:fill="auto"/>
          </w:tcPr>
          <w:p w14:paraId="05A28A12" w14:textId="77777777" w:rsidR="000A2580" w:rsidRPr="000A2580" w:rsidRDefault="000A2580" w:rsidP="005E1C95">
            <w:pPr>
              <w:jc w:val="both"/>
              <w:rPr>
                <w:i/>
                <w:sz w:val="20"/>
                <w:szCs w:val="20"/>
              </w:rPr>
            </w:pPr>
          </w:p>
        </w:tc>
      </w:tr>
      <w:tr w:rsidR="000A2580" w:rsidRPr="000A2580" w14:paraId="1FCD9683" w14:textId="77777777" w:rsidTr="009B3271">
        <w:tc>
          <w:tcPr>
            <w:tcW w:w="4535" w:type="dxa"/>
            <w:shd w:val="clear" w:color="auto" w:fill="auto"/>
          </w:tcPr>
          <w:p w14:paraId="1A35DF8B" w14:textId="77777777" w:rsidR="000A2580" w:rsidRPr="000A2580" w:rsidRDefault="000A2580" w:rsidP="005E1C95">
            <w:pPr>
              <w:jc w:val="both"/>
              <w:rPr>
                <w:i/>
                <w:sz w:val="20"/>
                <w:szCs w:val="20"/>
              </w:rPr>
            </w:pPr>
            <w:r w:rsidRPr="000A2580">
              <w:rPr>
                <w:i/>
                <w:sz w:val="20"/>
                <w:szCs w:val="20"/>
              </w:rPr>
              <w:t>“i found it very helpful as i usually do not really pay too much attention to the online lectures but the ACL requires me to really look into it more rather than just briefly looking through it. also it points out questions i don’t understand where we can ask and clarify our questions.”</w:t>
            </w:r>
          </w:p>
        </w:tc>
      </w:tr>
      <w:tr w:rsidR="000A2580" w:rsidRPr="000A2580" w14:paraId="70F3328A" w14:textId="77777777" w:rsidTr="009B3271">
        <w:tc>
          <w:tcPr>
            <w:tcW w:w="4535" w:type="dxa"/>
            <w:shd w:val="clear" w:color="auto" w:fill="auto"/>
          </w:tcPr>
          <w:p w14:paraId="2D13F037" w14:textId="77777777" w:rsidR="000A2580" w:rsidRPr="000A2580" w:rsidRDefault="000A2580" w:rsidP="005E1C95">
            <w:pPr>
              <w:jc w:val="both"/>
              <w:rPr>
                <w:i/>
                <w:sz w:val="20"/>
                <w:szCs w:val="20"/>
              </w:rPr>
            </w:pPr>
          </w:p>
        </w:tc>
      </w:tr>
      <w:tr w:rsidR="000A2580" w:rsidRPr="000A2580" w14:paraId="7A6E81F4" w14:textId="77777777" w:rsidTr="009B3271">
        <w:tc>
          <w:tcPr>
            <w:tcW w:w="4535" w:type="dxa"/>
            <w:shd w:val="clear" w:color="auto" w:fill="auto"/>
          </w:tcPr>
          <w:p w14:paraId="3CE6B9B1" w14:textId="77777777" w:rsidR="000A2580" w:rsidRPr="000A2580" w:rsidRDefault="000A2580" w:rsidP="005E1C95">
            <w:pPr>
              <w:jc w:val="both"/>
              <w:rPr>
                <w:i/>
                <w:sz w:val="20"/>
                <w:szCs w:val="20"/>
              </w:rPr>
            </w:pPr>
            <w:r w:rsidRPr="000A2580">
              <w:rPr>
                <w:i/>
                <w:sz w:val="20"/>
                <w:szCs w:val="20"/>
              </w:rPr>
              <w:t>“Given the circumstances, ACL is definitely a viable solution. Making us submit PDF through msteams definitely has helped me understand the theory aspect a lot more. Going through the tutorial as a class the following monday is also a very good structure of this mastercam module, definitely has cleared alot of doubts that we have in mind. It has helped us with the quizzes a whole lot. Thanks Mr Henry”</w:t>
            </w:r>
          </w:p>
        </w:tc>
      </w:tr>
      <w:tr w:rsidR="000A2580" w:rsidRPr="000A2580" w14:paraId="4E355647" w14:textId="77777777" w:rsidTr="009B3271">
        <w:tc>
          <w:tcPr>
            <w:tcW w:w="4535" w:type="dxa"/>
            <w:shd w:val="clear" w:color="auto" w:fill="auto"/>
          </w:tcPr>
          <w:p w14:paraId="7C7C78DB" w14:textId="77777777" w:rsidR="000A2580" w:rsidRPr="000A2580" w:rsidRDefault="000A2580" w:rsidP="005E1C95">
            <w:pPr>
              <w:jc w:val="both"/>
              <w:rPr>
                <w:i/>
                <w:sz w:val="20"/>
                <w:szCs w:val="20"/>
              </w:rPr>
            </w:pPr>
          </w:p>
        </w:tc>
      </w:tr>
      <w:tr w:rsidR="000A2580" w:rsidRPr="000A2580" w14:paraId="64D5E247" w14:textId="77777777" w:rsidTr="009B3271">
        <w:tc>
          <w:tcPr>
            <w:tcW w:w="4535" w:type="dxa"/>
            <w:shd w:val="clear" w:color="auto" w:fill="auto"/>
          </w:tcPr>
          <w:p w14:paraId="6F3BD135" w14:textId="77777777" w:rsidR="000A2580" w:rsidRPr="000A2580" w:rsidRDefault="000A2580" w:rsidP="005E1C95">
            <w:pPr>
              <w:jc w:val="both"/>
              <w:rPr>
                <w:i/>
                <w:sz w:val="20"/>
                <w:szCs w:val="20"/>
              </w:rPr>
            </w:pPr>
            <w:r w:rsidRPr="000A2580">
              <w:rPr>
                <w:i/>
                <w:sz w:val="20"/>
                <w:szCs w:val="20"/>
              </w:rPr>
              <w:t>“It was well implemented. However, it was through the lecture where we had to present, where i actually found interest to learn more. Overall, i found it to be a good approach still as it motivates me to be more self directed.”</w:t>
            </w:r>
          </w:p>
        </w:tc>
      </w:tr>
      <w:tr w:rsidR="000A2580" w:rsidRPr="000A2580" w14:paraId="21546FE8" w14:textId="77777777" w:rsidTr="009B3271">
        <w:tc>
          <w:tcPr>
            <w:tcW w:w="4535" w:type="dxa"/>
            <w:shd w:val="clear" w:color="auto" w:fill="auto"/>
          </w:tcPr>
          <w:p w14:paraId="7C5699BA" w14:textId="77777777" w:rsidR="000A2580" w:rsidRPr="000A2580" w:rsidRDefault="000A2580" w:rsidP="005E1C95">
            <w:pPr>
              <w:jc w:val="both"/>
              <w:rPr>
                <w:i/>
                <w:sz w:val="20"/>
                <w:szCs w:val="20"/>
              </w:rPr>
            </w:pPr>
          </w:p>
        </w:tc>
      </w:tr>
      <w:tr w:rsidR="000A2580" w:rsidRPr="000A2580" w14:paraId="4F590B5B" w14:textId="77777777" w:rsidTr="009B3271">
        <w:tc>
          <w:tcPr>
            <w:tcW w:w="4535" w:type="dxa"/>
            <w:tcBorders>
              <w:top w:val="single" w:sz="4" w:space="0" w:color="auto"/>
              <w:bottom w:val="single" w:sz="4" w:space="0" w:color="auto"/>
            </w:tcBorders>
            <w:shd w:val="clear" w:color="auto" w:fill="auto"/>
          </w:tcPr>
          <w:p w14:paraId="0E2C2A22" w14:textId="77777777" w:rsidR="000A2580" w:rsidRPr="000A2580" w:rsidRDefault="000A2580" w:rsidP="005E1C95">
            <w:pPr>
              <w:jc w:val="both"/>
              <w:rPr>
                <w:i/>
                <w:sz w:val="20"/>
                <w:szCs w:val="20"/>
              </w:rPr>
            </w:pPr>
            <w:r w:rsidRPr="000A2580">
              <w:rPr>
                <w:i/>
                <w:sz w:val="20"/>
                <w:szCs w:val="20"/>
              </w:rPr>
              <w:t>“The active worksheet has allowed me to think more about the topic(s) and ensure that I do work instead of procrastinate which does considerable help when Mill/Turning Quiz as it gives us some examples/practise on topics …… Only downside is the increased weekly work load now we must watch video, do coursework, do Lab assessment and complete tutorial which I suppose say it’s fair enough given Computer aided machine is 6 credit module……”</w:t>
            </w:r>
          </w:p>
        </w:tc>
      </w:tr>
    </w:tbl>
    <w:p w14:paraId="5075C4D0" w14:textId="510C3D00" w:rsidR="000A2580" w:rsidRDefault="000A2580" w:rsidP="000A2580">
      <w:pPr>
        <w:pStyle w:val="PlainText"/>
        <w:jc w:val="both"/>
        <w:rPr>
          <w:rFonts w:ascii="Times New Roman" w:hAnsi="Times New Roman"/>
          <w:lang w:val="en-GB"/>
        </w:rPr>
      </w:pPr>
    </w:p>
    <w:p w14:paraId="5D8CFB58" w14:textId="1EED9258" w:rsidR="000A2580" w:rsidRDefault="00C242BB" w:rsidP="00D20F06">
      <w:pPr>
        <w:pStyle w:val="PlainText"/>
        <w:ind w:firstLine="284"/>
        <w:jc w:val="both"/>
        <w:rPr>
          <w:rFonts w:ascii="Times New Roman" w:hAnsi="Times New Roman"/>
          <w:lang w:val="en-GB"/>
        </w:rPr>
      </w:pPr>
      <w:r w:rsidRPr="00C242BB">
        <w:rPr>
          <w:rFonts w:ascii="Times New Roman" w:hAnsi="Times New Roman"/>
          <w:lang w:val="en-GB"/>
        </w:rPr>
        <w:t xml:space="preserve">While some students thought that ACL was adding </w:t>
      </w:r>
      <w:r>
        <w:rPr>
          <w:rFonts w:ascii="Times New Roman" w:hAnsi="Times New Roman"/>
          <w:lang w:val="en-GB"/>
        </w:rPr>
        <w:t xml:space="preserve">extra loads </w:t>
      </w:r>
      <w:r w:rsidRPr="00C242BB">
        <w:rPr>
          <w:rFonts w:ascii="Times New Roman" w:hAnsi="Times New Roman"/>
          <w:lang w:val="en-GB"/>
        </w:rPr>
        <w:t>to their already hectic schedule, the majority of them nevertheless expressed</w:t>
      </w:r>
      <w:r>
        <w:rPr>
          <w:rFonts w:ascii="Times New Roman" w:hAnsi="Times New Roman"/>
          <w:lang w:val="en-GB"/>
        </w:rPr>
        <w:t xml:space="preserve"> positive</w:t>
      </w:r>
      <w:r w:rsidRPr="00C242BB">
        <w:rPr>
          <w:rFonts w:ascii="Times New Roman" w:hAnsi="Times New Roman"/>
          <w:lang w:val="en-GB"/>
        </w:rPr>
        <w:t xml:space="preserve"> comments. </w:t>
      </w:r>
      <w:r w:rsidR="00B93BF0" w:rsidRPr="00B93BF0">
        <w:rPr>
          <w:rFonts w:ascii="Times New Roman" w:hAnsi="Times New Roman"/>
          <w:lang w:val="en-GB"/>
        </w:rPr>
        <w:t xml:space="preserve">Students, in particular, stated that ACL increased their intrinsic motivation, allowing them to be more self-directed and eager to go the extra mile by conducting their own research. </w:t>
      </w:r>
      <w:r w:rsidR="006D11E9" w:rsidRPr="006D11E9">
        <w:rPr>
          <w:rFonts w:ascii="Times New Roman" w:hAnsi="Times New Roman"/>
          <w:lang w:val="en-GB"/>
        </w:rPr>
        <w:t>This was reflected by the feedback scores for questions 5 and 7, which were designed to establish whether ACL was able to enhance motivations among students and so promote self-directed learning among students.</w:t>
      </w:r>
    </w:p>
    <w:p w14:paraId="318AC63A" w14:textId="77777777" w:rsidR="000A2580" w:rsidRPr="003E0719" w:rsidRDefault="000A2580" w:rsidP="000A2580">
      <w:pPr>
        <w:pStyle w:val="PlainText"/>
        <w:jc w:val="both"/>
        <w:rPr>
          <w:rFonts w:ascii="Times New Roman" w:hAnsi="Times New Roman"/>
          <w:lang w:val="en-GB"/>
        </w:rPr>
      </w:pPr>
    </w:p>
    <w:p w14:paraId="41B31C0A" w14:textId="0AB6EDA7"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Conclusions</w:t>
      </w:r>
    </w:p>
    <w:p w14:paraId="0F47839A" w14:textId="77777777" w:rsidR="00A94A51" w:rsidRPr="003E0719" w:rsidRDefault="00A94A51">
      <w:pPr>
        <w:pStyle w:val="PlainText"/>
        <w:jc w:val="both"/>
        <w:rPr>
          <w:rFonts w:ascii="Times New Roman" w:hAnsi="Times New Roman"/>
          <w:lang w:val="en-GB"/>
        </w:rPr>
      </w:pPr>
    </w:p>
    <w:p w14:paraId="5100F29C" w14:textId="00F1123C" w:rsidR="000A2580" w:rsidRPr="000A2580" w:rsidRDefault="000A2580" w:rsidP="005F26B3">
      <w:pPr>
        <w:pStyle w:val="PlainText"/>
        <w:ind w:firstLine="284"/>
        <w:jc w:val="both"/>
        <w:rPr>
          <w:rFonts w:ascii="Times New Roman" w:hAnsi="Times New Roman"/>
        </w:rPr>
      </w:pPr>
      <w:r w:rsidRPr="000A2580">
        <w:rPr>
          <w:rFonts w:ascii="Times New Roman" w:hAnsi="Times New Roman"/>
        </w:rPr>
        <w:t xml:space="preserve">Learners in 21st century shouldn’t be taught using the pedagogy of 20th </w:t>
      </w:r>
      <w:r w:rsidRPr="00A5580D">
        <w:rPr>
          <w:rFonts w:ascii="Times New Roman" w:hAnsi="Times New Roman"/>
        </w:rPr>
        <w:t>century (Suárez et al., 2021).</w:t>
      </w:r>
      <w:r w:rsidRPr="000A2580">
        <w:rPr>
          <w:rFonts w:ascii="Times New Roman" w:hAnsi="Times New Roman"/>
        </w:rPr>
        <w:t xml:space="preserve"> </w:t>
      </w:r>
      <w:r w:rsidR="00AF645A" w:rsidRPr="00AF645A">
        <w:rPr>
          <w:rFonts w:ascii="Times New Roman" w:hAnsi="Times New Roman"/>
        </w:rPr>
        <w:t xml:space="preserve">Indeed, </w:t>
      </w:r>
      <w:r w:rsidR="00AF645A">
        <w:rPr>
          <w:rFonts w:ascii="Times New Roman" w:hAnsi="Times New Roman"/>
        </w:rPr>
        <w:t xml:space="preserve">due to </w:t>
      </w:r>
      <w:r w:rsidR="00AF645A" w:rsidRPr="00AF645A">
        <w:rPr>
          <w:rFonts w:ascii="Times New Roman" w:hAnsi="Times New Roman"/>
        </w:rPr>
        <w:t>the rapid evolution of the internet, knowledge is now available at the touch of a button. In light of this, pedagogies should evolve to meet the contemporary profile of students, who are more technologically savvy.</w:t>
      </w:r>
    </w:p>
    <w:p w14:paraId="2C682483" w14:textId="77777777" w:rsidR="000A2580" w:rsidRPr="000A2580" w:rsidRDefault="000A2580" w:rsidP="000A2580">
      <w:pPr>
        <w:pStyle w:val="PlainText"/>
        <w:jc w:val="both"/>
        <w:rPr>
          <w:rFonts w:ascii="Times New Roman" w:hAnsi="Times New Roman"/>
        </w:rPr>
      </w:pPr>
    </w:p>
    <w:p w14:paraId="6A803F5D" w14:textId="7784721B" w:rsidR="00DB3A37" w:rsidRPr="003E0719" w:rsidRDefault="000A2580" w:rsidP="00C63D5A">
      <w:pPr>
        <w:pStyle w:val="PlainText"/>
        <w:ind w:firstLine="284"/>
        <w:jc w:val="both"/>
        <w:rPr>
          <w:rFonts w:ascii="Times New Roman" w:hAnsi="Times New Roman"/>
          <w:lang w:val="en-GB"/>
        </w:rPr>
      </w:pPr>
      <w:r w:rsidRPr="000A2580">
        <w:rPr>
          <w:rFonts w:ascii="Times New Roman" w:hAnsi="Times New Roman"/>
        </w:rPr>
        <w:t xml:space="preserve">In this pilot study, Active-Collaborative Learning (ACL) went under trial on SP DME Year 2 students who were taking CAM module. It leveraged from the current Flipped Learning setup to introduce an active and collaborative learning session during in-class activity. The hypothesis of this study was defined as ACL is able to improve student’s assessment score for pragmatic-based module. Based on the analysis of recorded quiz results, ACL group was performing better than the non-ACL group, where it saw an increasing of mean from 69.0 to 72.8. The result was statistically significant, albeit with a small effect size of 0.3 </w:t>
      </w:r>
      <w:r w:rsidRPr="00956FA3">
        <w:rPr>
          <w:rFonts w:ascii="Times New Roman" w:hAnsi="Times New Roman"/>
          <w:i/>
          <w:iCs/>
        </w:rPr>
        <w:t>(p&lt;0.05)</w:t>
      </w:r>
      <w:r w:rsidRPr="000A2580">
        <w:rPr>
          <w:rFonts w:ascii="Times New Roman" w:hAnsi="Times New Roman"/>
        </w:rPr>
        <w:t xml:space="preserve">. </w:t>
      </w:r>
      <w:r w:rsidR="00277078" w:rsidRPr="00AE00A8">
        <w:rPr>
          <w:rFonts w:ascii="Times New Roman" w:hAnsi="Times New Roman"/>
        </w:rPr>
        <w:t xml:space="preserve">Students were able to apply their theory knowledge more effectively when programming the cutting path, as evidenced by an increase in positive replies on the post-learning survey. </w:t>
      </w:r>
      <w:r w:rsidRPr="000A2580">
        <w:rPr>
          <w:rFonts w:ascii="Times New Roman" w:hAnsi="Times New Roman"/>
        </w:rPr>
        <w:t xml:space="preserve">An increasing score from 4.04 to 4.12 for CNC Turning and 3.88 to 4.06 for CNC Milling were recorded, showing that the students were learning better in ACL setup. Questionnaires feedbacks were largely positive among students implementing ACL in their studies. </w:t>
      </w:r>
      <w:r w:rsidR="004A1633" w:rsidRPr="004A1633">
        <w:rPr>
          <w:rFonts w:ascii="Times New Roman" w:hAnsi="Times New Roman"/>
        </w:rPr>
        <w:t xml:space="preserve">This study received a surprising response from students, as intrinsic motivation enhanced and encouraged them to be more self-directed, resulting in better learning than the </w:t>
      </w:r>
      <w:r w:rsidR="004A1633">
        <w:rPr>
          <w:rFonts w:ascii="Times New Roman" w:hAnsi="Times New Roman"/>
        </w:rPr>
        <w:t>traditional approach.</w:t>
      </w:r>
    </w:p>
    <w:p w14:paraId="75F9741F" w14:textId="77777777" w:rsidR="007B7F1B" w:rsidRPr="003E0719" w:rsidRDefault="007B7F1B" w:rsidP="007B7F1B">
      <w:pPr>
        <w:pStyle w:val="PlainText"/>
        <w:jc w:val="both"/>
        <w:rPr>
          <w:rFonts w:ascii="Times New Roman" w:hAnsi="Times New Roman"/>
          <w:b/>
          <w:lang w:val="en-GB"/>
        </w:rPr>
      </w:pPr>
      <w:r w:rsidRPr="003E0719">
        <w:rPr>
          <w:rFonts w:ascii="Times New Roman" w:hAnsi="Times New Roman"/>
          <w:b/>
          <w:lang w:val="en-GB"/>
        </w:rPr>
        <w:lastRenderedPageBreak/>
        <w:t>References</w:t>
      </w:r>
    </w:p>
    <w:p w14:paraId="7DE8C677" w14:textId="77777777" w:rsidR="007B7F1B" w:rsidRPr="003E0719" w:rsidRDefault="007B7F1B" w:rsidP="007B7F1B">
      <w:pPr>
        <w:pStyle w:val="PlainText"/>
        <w:jc w:val="both"/>
        <w:rPr>
          <w:rFonts w:ascii="Times New Roman" w:hAnsi="Times New Roman"/>
          <w:lang w:val="en-GB"/>
        </w:rPr>
      </w:pPr>
    </w:p>
    <w:p w14:paraId="577E7FF6"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Anderson L. W. &amp; Krathwohl D. R. (2001). A taxonomy for learning, teaching, and assessing: A Revision of Bloom’s Taxonomy of Educational Objective. New York: Longman.</w:t>
      </w:r>
    </w:p>
    <w:p w14:paraId="2AFFDFE7" w14:textId="77777777" w:rsidR="00151489" w:rsidRPr="00B63562" w:rsidRDefault="00151489" w:rsidP="00151489">
      <w:pPr>
        <w:pStyle w:val="PlainText"/>
        <w:jc w:val="both"/>
        <w:rPr>
          <w:rFonts w:ascii="Times New Roman" w:hAnsi="Times New Roman"/>
          <w:lang w:val="en-GB"/>
        </w:rPr>
      </w:pPr>
    </w:p>
    <w:p w14:paraId="353D6B19"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Ballen, C.J., Wieman, C., Salehi, S., Searle, J.B., Zamudio, K.R. (2017). Enhancing diversity in undergraduate science: self-efficacy drives performance gains with active learning. CBE life sciences education, 16(4), ar56. https://doi.org/10.1187/cbe.16-12-0344 </w:t>
      </w:r>
    </w:p>
    <w:p w14:paraId="1042712E" w14:textId="77777777" w:rsidR="00151489" w:rsidRPr="00B63562" w:rsidRDefault="00151489" w:rsidP="00151489">
      <w:pPr>
        <w:pStyle w:val="PlainText"/>
        <w:jc w:val="both"/>
        <w:rPr>
          <w:rFonts w:ascii="Times New Roman" w:hAnsi="Times New Roman"/>
          <w:lang w:val="en-GB"/>
        </w:rPr>
      </w:pPr>
    </w:p>
    <w:p w14:paraId="5FFCB60B"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Bergmann, J., &amp; Sams, A. (2012). Flip your classroom: Reach every student in every class every day. International Society for Technology in Education; ASCD.</w:t>
      </w:r>
    </w:p>
    <w:p w14:paraId="7CE0B702" w14:textId="77777777" w:rsidR="00151489" w:rsidRPr="00B63562" w:rsidRDefault="00151489" w:rsidP="00151489">
      <w:pPr>
        <w:pStyle w:val="PlainText"/>
        <w:jc w:val="both"/>
        <w:rPr>
          <w:rFonts w:ascii="Times New Roman" w:hAnsi="Times New Roman"/>
          <w:lang w:val="en-GB"/>
        </w:rPr>
      </w:pPr>
    </w:p>
    <w:p w14:paraId="53D9C0F6"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Bonwell, C. C., &amp; Eison, J. A. (1991). Active Learning: Creating Excitement in the Classroom. ASHE-ERIC Higher Education Report, Washington DC: School of Education and Human Development, George Washington University.</w:t>
      </w:r>
    </w:p>
    <w:p w14:paraId="63CC734F" w14:textId="77777777" w:rsidR="00151489" w:rsidRPr="00B63562" w:rsidRDefault="00151489" w:rsidP="00151489">
      <w:pPr>
        <w:pStyle w:val="PlainText"/>
        <w:jc w:val="both"/>
        <w:rPr>
          <w:rFonts w:ascii="Times New Roman" w:hAnsi="Times New Roman"/>
          <w:lang w:val="en-GB"/>
        </w:rPr>
      </w:pPr>
    </w:p>
    <w:p w14:paraId="357084A7"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Cho, H.J., Zhao, K., Lee, C.R., Runshe D. &amp; Krousgrill C. (2021). Active learning through flipped classroom in mechanical engineering: improving students’ perception of learning and performance. IJ STEM Ed 8, 46. https://doi.org/10.1186/s40594-021-00302-2</w:t>
      </w:r>
    </w:p>
    <w:p w14:paraId="389DC42C" w14:textId="77777777" w:rsidR="00151489" w:rsidRPr="00B63562" w:rsidRDefault="00151489" w:rsidP="00151489">
      <w:pPr>
        <w:pStyle w:val="PlainText"/>
        <w:jc w:val="both"/>
        <w:rPr>
          <w:rFonts w:ascii="Times New Roman" w:hAnsi="Times New Roman"/>
          <w:lang w:val="en-GB"/>
        </w:rPr>
      </w:pPr>
    </w:p>
    <w:p w14:paraId="177BAD18"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Christensen, C. R., Garvin, D. A., &amp; Sweet, A. (1991). Education for judgment: The artistry of discussion leadership. Boston, Mass: Harvard Business School Press</w:t>
      </w:r>
    </w:p>
    <w:p w14:paraId="7EAC34C7" w14:textId="77777777" w:rsidR="00151489" w:rsidRPr="00B63562" w:rsidRDefault="00151489" w:rsidP="00151489">
      <w:pPr>
        <w:pStyle w:val="PlainText"/>
        <w:jc w:val="both"/>
        <w:rPr>
          <w:rFonts w:ascii="Times New Roman" w:hAnsi="Times New Roman"/>
          <w:lang w:val="en-GB"/>
        </w:rPr>
      </w:pPr>
    </w:p>
    <w:p w14:paraId="2F71A5F0"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Cohen, J. (1988). Statistical Power Analysis for the Behavioral Sciences (2nd ed.). Hillsdale, NJ: Lawrence Erlbaum Associates, Publishers.</w:t>
      </w:r>
    </w:p>
    <w:p w14:paraId="35F7B48A" w14:textId="77777777" w:rsidR="00151489" w:rsidRPr="00B63562" w:rsidRDefault="00151489" w:rsidP="00151489">
      <w:pPr>
        <w:pStyle w:val="PlainText"/>
        <w:jc w:val="both"/>
        <w:rPr>
          <w:rFonts w:ascii="Times New Roman" w:hAnsi="Times New Roman"/>
          <w:lang w:val="en-GB"/>
        </w:rPr>
      </w:pPr>
    </w:p>
    <w:p w14:paraId="7AD5EF7D"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Deslauriers, L., McCarty, L., Miller, K., Callaghan, K., &amp; Kestin, G. (2019). Measuring actual learning versus feeling of learning in response to being actively engaged in the classroom. Proceedings of the National Academy of Sciences, U.S.A. 116. https://doi.org/10.1073/pnas.1916903117 </w:t>
      </w:r>
    </w:p>
    <w:p w14:paraId="7C519B0C" w14:textId="77777777" w:rsidR="00151489" w:rsidRPr="00B63562" w:rsidRDefault="00151489" w:rsidP="00151489">
      <w:pPr>
        <w:pStyle w:val="PlainText"/>
        <w:jc w:val="both"/>
        <w:rPr>
          <w:rFonts w:ascii="Times New Roman" w:hAnsi="Times New Roman"/>
          <w:lang w:val="en-GB"/>
        </w:rPr>
      </w:pPr>
    </w:p>
    <w:p w14:paraId="61B61950"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Freeman S., Eddy S. L., McDonough M., Smith, M. K., Okoroafor N., Jordt H., Wenderoth M. P. (2014). Active learning increases student performance in science, engineering, and mathematics.  Proceedings of the National Academy of Sciences, U.S.A. 111, 8410–8415. https://doi.org/10.1073/pnas.131903011 </w:t>
      </w:r>
    </w:p>
    <w:p w14:paraId="21F5F8F1" w14:textId="77777777" w:rsidR="00151489" w:rsidRPr="00B63562" w:rsidRDefault="00151489" w:rsidP="00151489">
      <w:pPr>
        <w:pStyle w:val="PlainText"/>
        <w:jc w:val="both"/>
        <w:rPr>
          <w:rFonts w:ascii="Times New Roman" w:hAnsi="Times New Roman"/>
          <w:lang w:val="en-GB"/>
        </w:rPr>
      </w:pPr>
    </w:p>
    <w:p w14:paraId="745BF816"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Järvenoja H., Malmberg J., Törmänen T., Mänty K., Haataja E., Ahola S. &amp; Järvelä S., (2020). A Collaborative Learning Design for Promoting and Analyzing Adaptive Motivation and Emotion Regulation in the Science Classroom. Front. Educ. 5:111. https://doi.org/10.3389/feduc.2020.00111 </w:t>
      </w:r>
    </w:p>
    <w:p w14:paraId="07494939" w14:textId="77777777" w:rsidR="00151489" w:rsidRPr="00B63562" w:rsidRDefault="00151489" w:rsidP="00151489">
      <w:pPr>
        <w:pStyle w:val="PlainText"/>
        <w:jc w:val="both"/>
        <w:rPr>
          <w:rFonts w:ascii="Times New Roman" w:hAnsi="Times New Roman"/>
          <w:lang w:val="en-GB"/>
        </w:rPr>
      </w:pPr>
    </w:p>
    <w:p w14:paraId="218AD278"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Mason, G. S., Shuman, T. R., &amp; Cook, K. E. (2013). Comparing the effectiveness of an inverted classroom to a traditional classroom in an upper-division engineering </w:t>
      </w:r>
      <w:r w:rsidRPr="00B63562">
        <w:rPr>
          <w:rFonts w:ascii="Times New Roman" w:hAnsi="Times New Roman"/>
          <w:lang w:val="en-GB"/>
        </w:rPr>
        <w:t xml:space="preserve">course. IEEE Transactions on Education, 56(4), 430–435. https://doi.org/10.1109/TE.2013.2249066  </w:t>
      </w:r>
    </w:p>
    <w:p w14:paraId="65B9195D" w14:textId="77777777" w:rsidR="00151489" w:rsidRPr="00B63562" w:rsidRDefault="00151489" w:rsidP="00151489">
      <w:pPr>
        <w:pStyle w:val="PlainText"/>
        <w:jc w:val="both"/>
        <w:rPr>
          <w:rFonts w:ascii="Times New Roman" w:hAnsi="Times New Roman"/>
          <w:lang w:val="en-GB"/>
        </w:rPr>
      </w:pPr>
    </w:p>
    <w:p w14:paraId="090EE17A"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Owens, D.C., Sadler, T.D., Barlow, A.T. &amp; Smith-Walters, C. (2020). Student Motivation from and Resistance to Active Learning Rooted in Essential Science Practices. Res Sci Educ 50, 253–277. https://doi.org/10.1007/s11165-017-9688-1 </w:t>
      </w:r>
    </w:p>
    <w:p w14:paraId="1AECACE3" w14:textId="77777777" w:rsidR="00151489" w:rsidRPr="00B63562" w:rsidRDefault="00151489" w:rsidP="00151489">
      <w:pPr>
        <w:pStyle w:val="PlainText"/>
        <w:jc w:val="both"/>
        <w:rPr>
          <w:rFonts w:ascii="Times New Roman" w:hAnsi="Times New Roman"/>
          <w:lang w:val="en-GB"/>
        </w:rPr>
      </w:pPr>
    </w:p>
    <w:p w14:paraId="04B13059"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Prince, M. &amp; Fedler, R. (2006). Inductive teaching and learning methods: Definitions, comparisons, and research bases. Journal of Engineering Education, 95 (2), 123–38.</w:t>
      </w:r>
    </w:p>
    <w:p w14:paraId="1C987C6F" w14:textId="77777777" w:rsidR="00151489" w:rsidRPr="00B63562" w:rsidRDefault="00151489" w:rsidP="00151489">
      <w:pPr>
        <w:pStyle w:val="PlainText"/>
        <w:jc w:val="both"/>
        <w:rPr>
          <w:rFonts w:ascii="Times New Roman" w:hAnsi="Times New Roman"/>
          <w:lang w:val="en-GB"/>
        </w:rPr>
      </w:pPr>
    </w:p>
    <w:p w14:paraId="20EA6759"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 xml:space="preserve">Scager, K., Boonstra, J., Peeters, T., Vulperhorst, J., &amp; Wiegant, F. (2016). Collaborative Learning in Higher Education: Evoking Positive Interdependence. CBE life sciences education, 15(4), ar69. https://doi.org/10.1187/cbe.16-07-0219 </w:t>
      </w:r>
    </w:p>
    <w:p w14:paraId="5B8B7D93" w14:textId="77777777" w:rsidR="00151489" w:rsidRPr="00B63562" w:rsidRDefault="00151489" w:rsidP="00151489">
      <w:pPr>
        <w:pStyle w:val="PlainText"/>
        <w:jc w:val="both"/>
        <w:rPr>
          <w:rFonts w:ascii="Times New Roman" w:hAnsi="Times New Roman"/>
          <w:lang w:val="en-GB"/>
        </w:rPr>
      </w:pPr>
    </w:p>
    <w:p w14:paraId="115D4BBE"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Smith, B. L., &amp; MacGregor J. (1992). Collaborative Learning: A Sourcebook for Higher Education. University Park, PA: National Center on Postsecondary Teaching, Learning, and Assessment (NCTLA). 9-22.</w:t>
      </w:r>
    </w:p>
    <w:p w14:paraId="432F7B9C" w14:textId="77777777" w:rsidR="00151489" w:rsidRPr="00B63562" w:rsidRDefault="00151489" w:rsidP="00151489">
      <w:pPr>
        <w:pStyle w:val="PlainText"/>
        <w:jc w:val="both"/>
        <w:rPr>
          <w:rFonts w:ascii="Times New Roman" w:hAnsi="Times New Roman"/>
          <w:lang w:val="en-GB"/>
        </w:rPr>
      </w:pPr>
    </w:p>
    <w:p w14:paraId="0FA5E35F" w14:textId="77777777" w:rsidR="00151489" w:rsidRPr="00B63562" w:rsidRDefault="00151489" w:rsidP="00151489">
      <w:pPr>
        <w:pStyle w:val="PlainText"/>
        <w:jc w:val="both"/>
        <w:rPr>
          <w:rFonts w:ascii="Times New Roman" w:hAnsi="Times New Roman"/>
          <w:lang w:val="en-GB"/>
        </w:rPr>
      </w:pPr>
      <w:r w:rsidRPr="00B63562">
        <w:rPr>
          <w:rFonts w:ascii="Times New Roman" w:hAnsi="Times New Roman"/>
          <w:lang w:val="en-GB"/>
        </w:rPr>
        <w:t>Suárez, F., Mosquera Feijóo, J.C., Chiyón, I., &amp; Alberti, M.G. (2021). Flipped Learning in Engineering Modules Is More Than Watching Videos: The Development of Personal and Professional Skills. Sustainability 2021, 13, 12290. https://doi.org/10.3390/su132112290</w:t>
      </w:r>
    </w:p>
    <w:p w14:paraId="6A1062DD" w14:textId="77777777" w:rsidR="00151489" w:rsidRPr="00B63562" w:rsidRDefault="00151489" w:rsidP="00151489">
      <w:pPr>
        <w:pStyle w:val="PlainText"/>
        <w:jc w:val="both"/>
        <w:rPr>
          <w:rFonts w:ascii="Times New Roman" w:hAnsi="Times New Roman"/>
          <w:lang w:val="en-GB"/>
        </w:rPr>
      </w:pPr>
    </w:p>
    <w:p w14:paraId="11ADB0B3" w14:textId="77777777" w:rsidR="00151489" w:rsidRPr="00B24AB9" w:rsidRDefault="00151489" w:rsidP="00151489">
      <w:pPr>
        <w:pStyle w:val="PlainText"/>
        <w:jc w:val="both"/>
        <w:rPr>
          <w:rFonts w:ascii="Times New Roman" w:hAnsi="Times New Roman"/>
          <w:lang w:val="en-GB"/>
        </w:rPr>
      </w:pPr>
      <w:r w:rsidRPr="00B63562">
        <w:rPr>
          <w:rFonts w:ascii="Times New Roman" w:hAnsi="Times New Roman"/>
          <w:lang w:val="en-GB"/>
        </w:rPr>
        <w:t>Theobald E. J., Hill M. J., Tran E., Agrawal S., Arroyo E. N., Behling S, Chambwe N., Cintrón D. L., Cooper J. D., Dunster G., Grummer J. A., Hennessey K., Hsiao J., Iranon N., Jones L., Jordt H., Keller M., Lacey M., Littlefield C. E., et al. (2020). Active learning narrows achievement gaps for underrepresented students in undergraduate science, technology, engineering, and math. Proceedings of the National Academy of Sciences, U.S.A. 117. https://doi.org/10.1073/pnas.1916903117</w:t>
      </w:r>
    </w:p>
    <w:p w14:paraId="4F607288" w14:textId="77777777" w:rsidR="00151489" w:rsidRDefault="00151489" w:rsidP="00151489"/>
    <w:p w14:paraId="45B31119" w14:textId="43B38020" w:rsidR="00A94A51" w:rsidRDefault="00A94A51" w:rsidP="004A7761">
      <w:pPr>
        <w:pStyle w:val="PlainText"/>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031E" w14:textId="77777777" w:rsidR="008A3A5A" w:rsidRDefault="008A3A5A">
      <w:r>
        <w:separator/>
      </w:r>
    </w:p>
  </w:endnote>
  <w:endnote w:type="continuationSeparator" w:id="0">
    <w:p w14:paraId="52E3778A" w14:textId="77777777" w:rsidR="008A3A5A" w:rsidRDefault="008A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D1DA" w14:textId="77777777" w:rsidR="007A5761" w:rsidRDefault="007A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B0A" w14:textId="77777777" w:rsidR="007A5761" w:rsidRDefault="007A5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06" w14:textId="77777777" w:rsidR="007A5761" w:rsidRDefault="007A5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2FFC" w14:textId="77777777" w:rsidR="008A3A5A" w:rsidRDefault="008A3A5A">
      <w:r>
        <w:separator/>
      </w:r>
    </w:p>
  </w:footnote>
  <w:footnote w:type="continuationSeparator" w:id="0">
    <w:p w14:paraId="4D2A2EF9" w14:textId="77777777" w:rsidR="008A3A5A" w:rsidRDefault="008A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A779" w14:textId="77777777" w:rsidR="007A5761" w:rsidRDefault="007A5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CB09" w14:textId="038C754A" w:rsidR="007A4FF8" w:rsidRPr="00866BAC" w:rsidRDefault="00B363F6" w:rsidP="00601880">
    <w:pPr>
      <w:pStyle w:val="Header"/>
      <w:jc w:val="right"/>
      <w:rPr>
        <w:rFonts w:ascii="Arial" w:hAnsi="Arial" w:cs="Arial"/>
        <w:sz w:val="28"/>
        <w:szCs w:val="28"/>
      </w:rPr>
    </w:pPr>
    <w:r>
      <w:rPr>
        <w:noProof/>
      </w:rPr>
      <mc:AlternateContent>
        <mc:Choice Requires="wps">
          <w:drawing>
            <wp:anchor distT="0" distB="0" distL="114300" distR="114300" simplePos="0" relativeHeight="251659264" behindDoc="0" locked="0" layoutInCell="0" allowOverlap="1" wp14:anchorId="3E7C3900" wp14:editId="1E5AF00A">
              <wp:simplePos x="0" y="0"/>
              <wp:positionH relativeFrom="page">
                <wp:posOffset>0</wp:posOffset>
              </wp:positionH>
              <wp:positionV relativeFrom="page">
                <wp:posOffset>190500</wp:posOffset>
              </wp:positionV>
              <wp:extent cx="7560310" cy="273050"/>
              <wp:effectExtent l="0" t="0" r="0" b="12700"/>
              <wp:wrapNone/>
              <wp:docPr id="1" name="MSIPCMb2834f5c878345e2d4e62c10" descr="{&quot;HashCode&quot;:-3896979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1BB68" w14:textId="23B58981" w:rsidR="00B363F6" w:rsidRPr="00B363F6" w:rsidRDefault="00B363F6" w:rsidP="00B363F6">
                          <w:pPr>
                            <w:jc w:val="center"/>
                            <w:rPr>
                              <w:rFonts w:ascii="Calibri" w:hAnsi="Calibri" w:cs="Calibri"/>
                              <w:color w:val="000000"/>
                              <w:sz w:val="20"/>
                            </w:rPr>
                          </w:pPr>
                          <w:r w:rsidRPr="00B363F6">
                            <w:rPr>
                              <w:rFonts w:ascii="Calibri" w:hAnsi="Calibri" w:cs="Calibri"/>
                              <w:color w:val="000000"/>
                              <w:sz w:val="20"/>
                            </w:rPr>
                            <w:t>Official (Closed), Non-Sensitive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7C3900" id="_x0000_t202" coordsize="21600,21600" o:spt="202" path="m,l,21600r21600,l21600,xe">
              <v:stroke joinstyle="miter"/>
              <v:path gradientshapeok="t" o:connecttype="rect"/>
            </v:shapetype>
            <v:shape id="MSIPCMb2834f5c878345e2d4e62c10" o:spid="_x0000_s1026" type="#_x0000_t202" alt="{&quot;HashCode&quot;:-389697962,&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7B1BB68" w14:textId="23B58981" w:rsidR="00B363F6" w:rsidRPr="00B363F6" w:rsidRDefault="00B363F6" w:rsidP="00B363F6">
                    <w:pPr>
                      <w:jc w:val="center"/>
                      <w:rPr>
                        <w:rFonts w:ascii="Calibri" w:hAnsi="Calibri" w:cs="Calibri"/>
                        <w:color w:val="000000"/>
                        <w:sz w:val="20"/>
                      </w:rPr>
                    </w:pPr>
                    <w:r w:rsidRPr="00B363F6">
                      <w:rPr>
                        <w:rFonts w:ascii="Calibri" w:hAnsi="Calibri" w:cs="Calibri"/>
                        <w:color w:val="000000"/>
                        <w:sz w:val="20"/>
                      </w:rPr>
                      <w:t>Official (Closed), Non-Sensitive</w:t>
                    </w:r>
                  </w:p>
                </w:txbxContent>
              </v:textbox>
              <w10:wrap anchorx="page" anchory="page"/>
            </v:shape>
          </w:pict>
        </mc:Fallback>
      </mc:AlternateContent>
    </w:r>
    <w:r w:rsidR="007A4FF8" w:rsidRPr="00CB53B8">
      <w:tab/>
    </w:r>
    <w:r w:rsidR="007A4FF8" w:rsidRPr="00CB53B8">
      <w:tab/>
    </w:r>
    <w:r w:rsidR="00601880" w:rsidRPr="00CB53B8">
      <w:t xml:space="preserve">   </w:t>
    </w:r>
  </w:p>
  <w:p w14:paraId="6ECB2043" w14:textId="77777777"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FF79" w14:textId="77777777" w:rsidR="007A5761" w:rsidRDefault="007A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775519474">
    <w:abstractNumId w:val="0"/>
  </w:num>
  <w:num w:numId="2" w16cid:durableId="437723818">
    <w:abstractNumId w:val="2"/>
  </w:num>
  <w:num w:numId="3" w16cid:durableId="190147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10224"/>
    <w:rsid w:val="000179D1"/>
    <w:rsid w:val="00025AE1"/>
    <w:rsid w:val="000261B3"/>
    <w:rsid w:val="000272EC"/>
    <w:rsid w:val="00063628"/>
    <w:rsid w:val="0007380B"/>
    <w:rsid w:val="00074404"/>
    <w:rsid w:val="000A2212"/>
    <w:rsid w:val="000A2580"/>
    <w:rsid w:val="000A4E28"/>
    <w:rsid w:val="000C59BA"/>
    <w:rsid w:val="000D0049"/>
    <w:rsid w:val="000D146F"/>
    <w:rsid w:val="000D20AC"/>
    <w:rsid w:val="000D4B2D"/>
    <w:rsid w:val="00100B3F"/>
    <w:rsid w:val="00103048"/>
    <w:rsid w:val="00105EC6"/>
    <w:rsid w:val="00122CEB"/>
    <w:rsid w:val="00123430"/>
    <w:rsid w:val="00133F89"/>
    <w:rsid w:val="001358F5"/>
    <w:rsid w:val="00151489"/>
    <w:rsid w:val="001564CC"/>
    <w:rsid w:val="00180E9F"/>
    <w:rsid w:val="001A1211"/>
    <w:rsid w:val="001A3025"/>
    <w:rsid w:val="001B5594"/>
    <w:rsid w:val="001C635E"/>
    <w:rsid w:val="001C64EF"/>
    <w:rsid w:val="001D3916"/>
    <w:rsid w:val="001D4B8B"/>
    <w:rsid w:val="001E0D38"/>
    <w:rsid w:val="001E6094"/>
    <w:rsid w:val="001E7719"/>
    <w:rsid w:val="001F3649"/>
    <w:rsid w:val="00200167"/>
    <w:rsid w:val="00201AB0"/>
    <w:rsid w:val="00215873"/>
    <w:rsid w:val="00217A19"/>
    <w:rsid w:val="002222BF"/>
    <w:rsid w:val="0022438D"/>
    <w:rsid w:val="00234CB2"/>
    <w:rsid w:val="00234CD8"/>
    <w:rsid w:val="00247461"/>
    <w:rsid w:val="00271C12"/>
    <w:rsid w:val="00277078"/>
    <w:rsid w:val="00277593"/>
    <w:rsid w:val="00284DB9"/>
    <w:rsid w:val="002A543F"/>
    <w:rsid w:val="002B0250"/>
    <w:rsid w:val="002B2BC2"/>
    <w:rsid w:val="002C364B"/>
    <w:rsid w:val="002E4228"/>
    <w:rsid w:val="002F09AE"/>
    <w:rsid w:val="002F134E"/>
    <w:rsid w:val="002F5C4C"/>
    <w:rsid w:val="003018F1"/>
    <w:rsid w:val="00312525"/>
    <w:rsid w:val="00320DB3"/>
    <w:rsid w:val="00321D68"/>
    <w:rsid w:val="003259A5"/>
    <w:rsid w:val="0033148A"/>
    <w:rsid w:val="0034119D"/>
    <w:rsid w:val="00372274"/>
    <w:rsid w:val="003848C4"/>
    <w:rsid w:val="00386209"/>
    <w:rsid w:val="00386F1D"/>
    <w:rsid w:val="00397E0A"/>
    <w:rsid w:val="003A1AEA"/>
    <w:rsid w:val="003A2D3D"/>
    <w:rsid w:val="003B17DD"/>
    <w:rsid w:val="003B6524"/>
    <w:rsid w:val="003C35D3"/>
    <w:rsid w:val="003C3977"/>
    <w:rsid w:val="003C44DE"/>
    <w:rsid w:val="003D6648"/>
    <w:rsid w:val="003D7E1E"/>
    <w:rsid w:val="003E0719"/>
    <w:rsid w:val="003E1CEA"/>
    <w:rsid w:val="00406E6A"/>
    <w:rsid w:val="00411766"/>
    <w:rsid w:val="00411AE8"/>
    <w:rsid w:val="004121AA"/>
    <w:rsid w:val="00412470"/>
    <w:rsid w:val="004137A4"/>
    <w:rsid w:val="00414A74"/>
    <w:rsid w:val="00446838"/>
    <w:rsid w:val="0046050A"/>
    <w:rsid w:val="00473179"/>
    <w:rsid w:val="004846A6"/>
    <w:rsid w:val="00484C7F"/>
    <w:rsid w:val="00485C05"/>
    <w:rsid w:val="00487CE5"/>
    <w:rsid w:val="00490282"/>
    <w:rsid w:val="00496757"/>
    <w:rsid w:val="004A1633"/>
    <w:rsid w:val="004A3C73"/>
    <w:rsid w:val="004A7761"/>
    <w:rsid w:val="004D062C"/>
    <w:rsid w:val="00502894"/>
    <w:rsid w:val="00510C68"/>
    <w:rsid w:val="005174E7"/>
    <w:rsid w:val="00545B45"/>
    <w:rsid w:val="005462E6"/>
    <w:rsid w:val="005506B2"/>
    <w:rsid w:val="00555AE5"/>
    <w:rsid w:val="0057379E"/>
    <w:rsid w:val="00576E70"/>
    <w:rsid w:val="005811F7"/>
    <w:rsid w:val="00591310"/>
    <w:rsid w:val="00596D3E"/>
    <w:rsid w:val="005A233B"/>
    <w:rsid w:val="005B01DA"/>
    <w:rsid w:val="005F070B"/>
    <w:rsid w:val="005F26B3"/>
    <w:rsid w:val="00601880"/>
    <w:rsid w:val="00603FC6"/>
    <w:rsid w:val="006061C1"/>
    <w:rsid w:val="00607145"/>
    <w:rsid w:val="00615D25"/>
    <w:rsid w:val="006207D3"/>
    <w:rsid w:val="00624ABF"/>
    <w:rsid w:val="00631E9E"/>
    <w:rsid w:val="00651295"/>
    <w:rsid w:val="00654033"/>
    <w:rsid w:val="00662F2E"/>
    <w:rsid w:val="00673928"/>
    <w:rsid w:val="006A16C2"/>
    <w:rsid w:val="006B2149"/>
    <w:rsid w:val="006D11E9"/>
    <w:rsid w:val="006E1865"/>
    <w:rsid w:val="006F1D86"/>
    <w:rsid w:val="006F2197"/>
    <w:rsid w:val="006F2359"/>
    <w:rsid w:val="006F265E"/>
    <w:rsid w:val="007004FE"/>
    <w:rsid w:val="0070140D"/>
    <w:rsid w:val="007123C2"/>
    <w:rsid w:val="007147F8"/>
    <w:rsid w:val="00733312"/>
    <w:rsid w:val="00733ACC"/>
    <w:rsid w:val="00735825"/>
    <w:rsid w:val="007359EC"/>
    <w:rsid w:val="007378A5"/>
    <w:rsid w:val="0075058D"/>
    <w:rsid w:val="00774169"/>
    <w:rsid w:val="007864DB"/>
    <w:rsid w:val="007A4FF8"/>
    <w:rsid w:val="007A5761"/>
    <w:rsid w:val="007A5C3B"/>
    <w:rsid w:val="007B48E2"/>
    <w:rsid w:val="007B7F1B"/>
    <w:rsid w:val="007C0164"/>
    <w:rsid w:val="007E5533"/>
    <w:rsid w:val="007E63BC"/>
    <w:rsid w:val="007F7F05"/>
    <w:rsid w:val="008174E1"/>
    <w:rsid w:val="00825A59"/>
    <w:rsid w:val="00833417"/>
    <w:rsid w:val="00861202"/>
    <w:rsid w:val="0086403C"/>
    <w:rsid w:val="00866BAC"/>
    <w:rsid w:val="00895AD7"/>
    <w:rsid w:val="008A3A5A"/>
    <w:rsid w:val="008B58F6"/>
    <w:rsid w:val="008E5E09"/>
    <w:rsid w:val="009004DC"/>
    <w:rsid w:val="0090148D"/>
    <w:rsid w:val="00901E7C"/>
    <w:rsid w:val="00921725"/>
    <w:rsid w:val="00927948"/>
    <w:rsid w:val="00930035"/>
    <w:rsid w:val="009310A2"/>
    <w:rsid w:val="00933AAA"/>
    <w:rsid w:val="00941004"/>
    <w:rsid w:val="00941573"/>
    <w:rsid w:val="00943A17"/>
    <w:rsid w:val="00956FA3"/>
    <w:rsid w:val="00963A42"/>
    <w:rsid w:val="00963D92"/>
    <w:rsid w:val="00967E2A"/>
    <w:rsid w:val="00973F1F"/>
    <w:rsid w:val="00987131"/>
    <w:rsid w:val="009A3E3D"/>
    <w:rsid w:val="009A403C"/>
    <w:rsid w:val="009B09BE"/>
    <w:rsid w:val="009B3271"/>
    <w:rsid w:val="009B353C"/>
    <w:rsid w:val="009B7C9F"/>
    <w:rsid w:val="009E3B4F"/>
    <w:rsid w:val="009E623E"/>
    <w:rsid w:val="009E7164"/>
    <w:rsid w:val="009F1C67"/>
    <w:rsid w:val="009F270D"/>
    <w:rsid w:val="00A00C6B"/>
    <w:rsid w:val="00A01778"/>
    <w:rsid w:val="00A01DD2"/>
    <w:rsid w:val="00A0588C"/>
    <w:rsid w:val="00A13C26"/>
    <w:rsid w:val="00A14BBB"/>
    <w:rsid w:val="00A216DE"/>
    <w:rsid w:val="00A36834"/>
    <w:rsid w:val="00A4008C"/>
    <w:rsid w:val="00A40A7F"/>
    <w:rsid w:val="00A43253"/>
    <w:rsid w:val="00A47156"/>
    <w:rsid w:val="00A5580D"/>
    <w:rsid w:val="00A701E4"/>
    <w:rsid w:val="00A94A51"/>
    <w:rsid w:val="00A95E15"/>
    <w:rsid w:val="00AA10C6"/>
    <w:rsid w:val="00AA16F0"/>
    <w:rsid w:val="00AC0049"/>
    <w:rsid w:val="00AC13F6"/>
    <w:rsid w:val="00AC196A"/>
    <w:rsid w:val="00AE00A8"/>
    <w:rsid w:val="00AE427C"/>
    <w:rsid w:val="00AE57B1"/>
    <w:rsid w:val="00AF1E23"/>
    <w:rsid w:val="00AF645A"/>
    <w:rsid w:val="00B00F0F"/>
    <w:rsid w:val="00B136D7"/>
    <w:rsid w:val="00B13B02"/>
    <w:rsid w:val="00B142F5"/>
    <w:rsid w:val="00B16731"/>
    <w:rsid w:val="00B2392C"/>
    <w:rsid w:val="00B24AB9"/>
    <w:rsid w:val="00B30245"/>
    <w:rsid w:val="00B313D5"/>
    <w:rsid w:val="00B363F6"/>
    <w:rsid w:val="00B4234F"/>
    <w:rsid w:val="00B516DB"/>
    <w:rsid w:val="00B575F5"/>
    <w:rsid w:val="00B63CEE"/>
    <w:rsid w:val="00B6745D"/>
    <w:rsid w:val="00B70704"/>
    <w:rsid w:val="00B724C5"/>
    <w:rsid w:val="00B74F76"/>
    <w:rsid w:val="00B842B8"/>
    <w:rsid w:val="00B90982"/>
    <w:rsid w:val="00B93BF0"/>
    <w:rsid w:val="00B9474F"/>
    <w:rsid w:val="00B97339"/>
    <w:rsid w:val="00BA772B"/>
    <w:rsid w:val="00BB69A8"/>
    <w:rsid w:val="00BB7DE5"/>
    <w:rsid w:val="00BC07D4"/>
    <w:rsid w:val="00BC2503"/>
    <w:rsid w:val="00BC3F72"/>
    <w:rsid w:val="00BC4611"/>
    <w:rsid w:val="00BE05CE"/>
    <w:rsid w:val="00BE1C44"/>
    <w:rsid w:val="00BE5094"/>
    <w:rsid w:val="00BE641E"/>
    <w:rsid w:val="00BF2B8C"/>
    <w:rsid w:val="00BF4430"/>
    <w:rsid w:val="00C04B7C"/>
    <w:rsid w:val="00C06937"/>
    <w:rsid w:val="00C07348"/>
    <w:rsid w:val="00C22366"/>
    <w:rsid w:val="00C242BB"/>
    <w:rsid w:val="00C30413"/>
    <w:rsid w:val="00C41CB9"/>
    <w:rsid w:val="00C44199"/>
    <w:rsid w:val="00C47233"/>
    <w:rsid w:val="00C63D5A"/>
    <w:rsid w:val="00C75141"/>
    <w:rsid w:val="00CB53B8"/>
    <w:rsid w:val="00CC06DF"/>
    <w:rsid w:val="00CC5CC7"/>
    <w:rsid w:val="00CC75C6"/>
    <w:rsid w:val="00CD5A4D"/>
    <w:rsid w:val="00CE24D7"/>
    <w:rsid w:val="00CF4ED4"/>
    <w:rsid w:val="00D0120B"/>
    <w:rsid w:val="00D04B95"/>
    <w:rsid w:val="00D1713E"/>
    <w:rsid w:val="00D20F06"/>
    <w:rsid w:val="00D72AD8"/>
    <w:rsid w:val="00D82B1A"/>
    <w:rsid w:val="00D8560C"/>
    <w:rsid w:val="00D8798A"/>
    <w:rsid w:val="00D90911"/>
    <w:rsid w:val="00D951FF"/>
    <w:rsid w:val="00DA7454"/>
    <w:rsid w:val="00DB3A37"/>
    <w:rsid w:val="00DC183E"/>
    <w:rsid w:val="00DC6504"/>
    <w:rsid w:val="00DD60B4"/>
    <w:rsid w:val="00DE0340"/>
    <w:rsid w:val="00DE122C"/>
    <w:rsid w:val="00DE4D8F"/>
    <w:rsid w:val="00DF2511"/>
    <w:rsid w:val="00DF363B"/>
    <w:rsid w:val="00DF38BA"/>
    <w:rsid w:val="00DF7E4E"/>
    <w:rsid w:val="00E116B2"/>
    <w:rsid w:val="00E11BC7"/>
    <w:rsid w:val="00E17A1D"/>
    <w:rsid w:val="00E51260"/>
    <w:rsid w:val="00E758C4"/>
    <w:rsid w:val="00E7652F"/>
    <w:rsid w:val="00E835AE"/>
    <w:rsid w:val="00E868D2"/>
    <w:rsid w:val="00EA2B6B"/>
    <w:rsid w:val="00EB505A"/>
    <w:rsid w:val="00EC3A66"/>
    <w:rsid w:val="00EC6119"/>
    <w:rsid w:val="00EC6ADB"/>
    <w:rsid w:val="00EE73B3"/>
    <w:rsid w:val="00F05C38"/>
    <w:rsid w:val="00F15C12"/>
    <w:rsid w:val="00F21D81"/>
    <w:rsid w:val="00F278E3"/>
    <w:rsid w:val="00F370EA"/>
    <w:rsid w:val="00F44D84"/>
    <w:rsid w:val="00F47119"/>
    <w:rsid w:val="00F47120"/>
    <w:rsid w:val="00F70E88"/>
    <w:rsid w:val="00F8161B"/>
    <w:rsid w:val="00FB3B2E"/>
    <w:rsid w:val="00FB6263"/>
    <w:rsid w:val="00FD415D"/>
    <w:rsid w:val="00FE45EE"/>
    <w:rsid w:val="00FE688B"/>
    <w:rsid w:val="00FE6E4C"/>
    <w:rsid w:val="00FF01C8"/>
    <w:rsid w:val="00FF2F84"/>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1863C75"/>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styleId="UnresolvedMention">
    <w:name w:val="Unresolved Mention"/>
    <w:basedOn w:val="DefaultParagraphFont"/>
    <w:uiPriority w:val="99"/>
    <w:semiHidden/>
    <w:unhideWhenUsed/>
    <w:rsid w:val="00F278E3"/>
    <w:rPr>
      <w:color w:val="605E5C"/>
      <w:shd w:val="clear" w:color="auto" w:fill="E1DFDD"/>
    </w:rPr>
  </w:style>
  <w:style w:type="paragraph" w:styleId="Caption">
    <w:name w:val="caption"/>
    <w:basedOn w:val="Normal"/>
    <w:next w:val="Normal"/>
    <w:unhideWhenUsed/>
    <w:qFormat/>
    <w:rsid w:val="003C35D3"/>
    <w:pPr>
      <w:spacing w:after="200"/>
    </w:pPr>
    <w:rPr>
      <w:i/>
      <w:iCs/>
      <w:color w:val="44546A" w:themeColor="text2"/>
      <w:sz w:val="18"/>
      <w:szCs w:val="18"/>
    </w:rPr>
  </w:style>
  <w:style w:type="character" w:customStyle="1" w:styleId="PlainTextChar">
    <w:name w:val="Plain Text Char"/>
    <w:basedOn w:val="DefaultParagraphFont"/>
    <w:link w:val="PlainText"/>
    <w:rsid w:val="00151489"/>
    <w:rPr>
      <w:rFonts w:ascii="Courier New" w:hAnsi="Courier New"/>
      <w:szCs w:val="24"/>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3364">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6</Pages>
  <Words>3729</Words>
  <Characters>21036</Characters>
  <Application>Microsoft Office Word</Application>
  <DocSecurity>0</DocSecurity>
  <Lines>637</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Henry KWONG (SP)</cp:lastModifiedBy>
  <cp:revision>164</cp:revision>
  <cp:lastPrinted>2015-12-02T07:41:00Z</cp:lastPrinted>
  <dcterms:created xsi:type="dcterms:W3CDTF">2023-05-14T08:54:00Z</dcterms:created>
  <dcterms:modified xsi:type="dcterms:W3CDTF">2023-05-28T14:09:00Z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68777-b54a-4424-86f5-98eef40f4a98_Enabled">
    <vt:lpwstr>true</vt:lpwstr>
  </property>
  <property fmtid="{D5CDD505-2E9C-101B-9397-08002B2CF9AE}" pid="3" name="MSIP_Label_03468777-b54a-4424-86f5-98eef40f4a98_SetDate">
    <vt:lpwstr>2023-05-28T14:09:40Z</vt:lpwstr>
  </property>
  <property fmtid="{D5CDD505-2E9C-101B-9397-08002B2CF9AE}" pid="4" name="MSIP_Label_03468777-b54a-4424-86f5-98eef40f4a98_Method">
    <vt:lpwstr>Privileged</vt:lpwstr>
  </property>
  <property fmtid="{D5CDD505-2E9C-101B-9397-08002B2CF9AE}" pid="5" name="MSIP_Label_03468777-b54a-4424-86f5-98eef40f4a98_Name">
    <vt:lpwstr>Official (Closed) - Non-Sensitive</vt:lpwstr>
  </property>
  <property fmtid="{D5CDD505-2E9C-101B-9397-08002B2CF9AE}" pid="6" name="MSIP_Label_03468777-b54a-4424-86f5-98eef40f4a98_SiteId">
    <vt:lpwstr>7604ff02-abd8-45db-8cac-550054323fc9</vt:lpwstr>
  </property>
  <property fmtid="{D5CDD505-2E9C-101B-9397-08002B2CF9AE}" pid="7" name="MSIP_Label_03468777-b54a-4424-86f5-98eef40f4a98_ActionId">
    <vt:lpwstr>50faa2f3-fb33-4e30-b022-21292d2eac34</vt:lpwstr>
  </property>
  <property fmtid="{D5CDD505-2E9C-101B-9397-08002B2CF9AE}" pid="8" name="MSIP_Label_03468777-b54a-4424-86f5-98eef40f4a98_ContentBits">
    <vt:lpwstr>1</vt:lpwstr>
  </property>
</Properties>
</file>